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CDUC</w:t>
      </w:r>
    </w:p>
    <w:p>
      <w:pPr>
        <w:jc w:val="center"/>
      </w:pPr>
      <w:r>
        <w:t>MONITOREO WES</w:t>
        <w:br/>
        <w:t>Análisis consolidado de 5 puntos de monitoreo</w:t>
        <w:br/>
        <w:t>Rango: 01-04-26 - 30-04-26</w:t>
        <w:br/>
        <w:t>Generado: 06-05-26 20:38</w:t>
      </w:r>
    </w:p>
    <w:p>
      <w:pPr>
        <w:pStyle w:val="Heading1"/>
        <w:keepNext/>
        <w:widowControl/>
        <w:spacing w:after="60"/>
      </w:pPr>
      <w:r>
        <w:rPr>
          <w:b/>
          <w:color w:val="003366"/>
        </w:rPr>
        <w:t>RESUMEN EJECUTIVO AGREGADO</w:t>
      </w:r>
    </w:p>
    <w:p>
      <w:r>
        <w:t>Puntos de monitoreo analizados: 5.</w:t>
        <w:br/>
      </w:r>
      <w:r>
        <w:t>Consumo total agregado: 4.821,1 m³.</w:t>
        <w:br/>
      </w:r>
      <w:r>
        <w:t>Consumo promedio por punto: 964,2 m³.</w:t>
        <w:br/>
      </w:r>
      <w:r>
        <w:t>Total de alertas registradas: 62.</w:t>
        <w:br/>
      </w:r>
      <w:r>
        <w:t>Promedio de alerta agregado: 3,7 m³/h.</w:t>
        <w:br/>
      </w:r>
      <w:r>
        <w:t>Proyección diaria de consumo nocturno agregada: 88,4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Raimundo Tupper, con un total de 1.597,3 m³ durante el periodo analizado. Este valor representa un 65,7% por encima del promedio (964,2 m³ por punto), indicando una demanda significativamente superior a la media. Por otro lado, el punto con menor consumo es Equitación, con un total de 294,4 m³. Este valor representa un 69,5% por debajo del promedio, mostrando una demanda significativamente inferior. La diferencia entre el punto de mayor y menor consumo es considerable, siendo el consumo máximo aproximadamente 5,4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085"/>
        <w:gridCol w:w="1149"/>
        <w:gridCol w:w="1021"/>
        <w:gridCol w:w="1595"/>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Raimundo Tupper</w:t>
            </w:r>
          </w:p>
        </w:tc>
        <w:tc>
          <w:tcPr>
            <w:tcW w:type="dxa" w:w="1440"/>
            <w:noWrap/>
          </w:tcPr>
          <w:p>
            <w:r>
              <w:t>1.597,3</w:t>
            </w:r>
          </w:p>
        </w:tc>
        <w:tc>
          <w:tcPr>
            <w:tcW w:type="dxa" w:w="1440"/>
            <w:noWrap/>
          </w:tcPr>
          <w:p>
            <w:r>
              <w:t>13</w:t>
            </w:r>
          </w:p>
        </w:tc>
        <w:tc>
          <w:tcPr>
            <w:tcW w:type="dxa" w:w="1440"/>
            <w:noWrap/>
          </w:tcPr>
          <w:p>
            <w:pPr>
              <w:jc w:val="left"/>
            </w:pPr>
            <w:r>
              <w:t>361,2 m³</w:t>
            </w:r>
          </w:p>
          <w:p>
            <w:pPr>
              <w:jc w:val="left"/>
            </w:pPr>
            <w:r>
              <w:t>(30 días, 100%)</w:t>
            </w:r>
          </w:p>
        </w:tc>
        <w:tc>
          <w:tcPr>
            <w:tcW w:type="dxa" w:w="1440"/>
            <w:noWrap/>
          </w:tcPr>
          <w:p>
            <w:pPr>
              <w:jc w:val="left"/>
            </w:pPr>
            <w:r>
              <w:t>1.238,3 m³</w:t>
            </w:r>
          </w:p>
          <w:p>
            <w:pPr>
              <w:jc w:val="left"/>
            </w:pPr>
            <w:r>
              <w:t>(77,5%)</w:t>
            </w:r>
          </w:p>
        </w:tc>
      </w:tr>
      <w:tr>
        <w:tc>
          <w:tcPr>
            <w:tcW w:type="dxa" w:w="1440"/>
            <w:noWrap/>
          </w:tcPr>
          <w:p>
            <w:r>
              <w:t>2</w:t>
            </w:r>
          </w:p>
        </w:tc>
        <w:tc>
          <w:tcPr>
            <w:tcW w:type="dxa" w:w="1440"/>
            <w:noWrap/>
          </w:tcPr>
          <w:p>
            <w:r>
              <w:t>Canchas de Tenis</w:t>
            </w:r>
          </w:p>
        </w:tc>
        <w:tc>
          <w:tcPr>
            <w:tcW w:type="dxa" w:w="1440"/>
            <w:noWrap/>
          </w:tcPr>
          <w:p>
            <w:r>
              <w:t>1.551,3</w:t>
            </w:r>
          </w:p>
        </w:tc>
        <w:tc>
          <w:tcPr>
            <w:tcW w:type="dxa" w:w="1440"/>
            <w:noWrap/>
          </w:tcPr>
          <w:p>
            <w:r>
              <w:t>21</w:t>
            </w:r>
          </w:p>
        </w:tc>
        <w:tc>
          <w:tcPr>
            <w:tcW w:type="dxa" w:w="1440"/>
            <w:noWrap/>
          </w:tcPr>
          <w:p>
            <w:pPr>
              <w:jc w:val="left"/>
            </w:pPr>
            <w:r>
              <w:t>350,3 m³</w:t>
            </w:r>
          </w:p>
          <w:p>
            <w:pPr>
              <w:jc w:val="left"/>
            </w:pPr>
            <w:r>
              <w:t>(30 días, 100%)</w:t>
            </w:r>
          </w:p>
        </w:tc>
        <w:tc>
          <w:tcPr>
            <w:tcW w:type="dxa" w:w="1440"/>
            <w:noWrap/>
          </w:tcPr>
          <w:p>
            <w:pPr>
              <w:jc w:val="left"/>
            </w:pPr>
            <w:r>
              <w:t>1.201,2 m³</w:t>
            </w:r>
          </w:p>
          <w:p>
            <w:pPr>
              <w:jc w:val="left"/>
            </w:pPr>
            <w:r>
              <w:t>(77,4%)</w:t>
            </w:r>
          </w:p>
        </w:tc>
      </w:tr>
      <w:tr>
        <w:tc>
          <w:tcPr>
            <w:tcW w:type="dxa" w:w="1440"/>
            <w:noWrap/>
          </w:tcPr>
          <w:p>
            <w:r>
              <w:t>3</w:t>
            </w:r>
          </w:p>
        </w:tc>
        <w:tc>
          <w:tcPr>
            <w:tcW w:type="dxa" w:w="1440"/>
            <w:noWrap/>
          </w:tcPr>
          <w:p>
            <w:r>
              <w:t>Calle de Servicio</w:t>
            </w:r>
          </w:p>
        </w:tc>
        <w:tc>
          <w:tcPr>
            <w:tcW w:type="dxa" w:w="1440"/>
            <w:noWrap/>
          </w:tcPr>
          <w:p>
            <w:r>
              <w:t>880,9</w:t>
            </w:r>
          </w:p>
        </w:tc>
        <w:tc>
          <w:tcPr>
            <w:tcW w:type="dxa" w:w="1440"/>
            <w:noWrap/>
          </w:tcPr>
          <w:p>
            <w:r>
              <w:t>21</w:t>
            </w:r>
          </w:p>
        </w:tc>
        <w:tc>
          <w:tcPr>
            <w:tcW w:type="dxa" w:w="1440"/>
            <w:noWrap/>
          </w:tcPr>
          <w:p>
            <w:pPr>
              <w:jc w:val="left"/>
            </w:pPr>
            <w:r>
              <w:t>249,5 m³</w:t>
            </w:r>
          </w:p>
          <w:p>
            <w:pPr>
              <w:jc w:val="left"/>
            </w:pPr>
            <w:r>
              <w:t>(30 días, 100%)</w:t>
            </w:r>
          </w:p>
        </w:tc>
        <w:tc>
          <w:tcPr>
            <w:tcW w:type="dxa" w:w="1440"/>
            <w:noWrap/>
          </w:tcPr>
          <w:p>
            <w:pPr>
              <w:jc w:val="left"/>
            </w:pPr>
            <w:r>
              <w:t>855,5 m³</w:t>
            </w:r>
          </w:p>
          <w:p>
            <w:pPr>
              <w:jc w:val="left"/>
            </w:pPr>
            <w:r>
              <w:t>(97,1%)</w:t>
            </w:r>
          </w:p>
        </w:tc>
      </w:tr>
      <w:tr>
        <w:tc>
          <w:tcPr>
            <w:tcW w:type="dxa" w:w="1440"/>
            <w:noWrap/>
          </w:tcPr>
          <w:p>
            <w:r>
              <w:t>4</w:t>
            </w:r>
          </w:p>
        </w:tc>
        <w:tc>
          <w:tcPr>
            <w:tcW w:type="dxa" w:w="1440"/>
            <w:noWrap/>
          </w:tcPr>
          <w:p>
            <w:r>
              <w:t>Club House CDUC</w:t>
            </w:r>
          </w:p>
        </w:tc>
        <w:tc>
          <w:tcPr>
            <w:tcW w:type="dxa" w:w="1440"/>
            <w:noWrap/>
          </w:tcPr>
          <w:p>
            <w:r>
              <w:t>497,2</w:t>
            </w:r>
          </w:p>
        </w:tc>
        <w:tc>
          <w:tcPr>
            <w:tcW w:type="dxa" w:w="1440"/>
            <w:noWrap/>
          </w:tcPr>
          <w:p>
            <w:r>
              <w:t>0</w:t>
            </w:r>
          </w:p>
        </w:tc>
        <w:tc>
          <w:tcPr>
            <w:tcW w:type="dxa" w:w="1440"/>
            <w:noWrap/>
          </w:tcPr>
          <w:p>
            <w:pPr>
              <w:jc w:val="left"/>
            </w:pPr>
            <w:r>
              <w:t>115,7 m³</w:t>
            </w:r>
          </w:p>
          <w:p>
            <w:pPr>
              <w:jc w:val="left"/>
            </w:pPr>
            <w:r>
              <w:t>(29 días, 96,7%)</w:t>
            </w:r>
          </w:p>
        </w:tc>
        <w:tc>
          <w:tcPr>
            <w:tcW w:type="dxa" w:w="1440"/>
            <w:noWrap/>
          </w:tcPr>
          <w:p>
            <w:pPr>
              <w:jc w:val="left"/>
            </w:pPr>
            <w:r>
              <w:t>396,8 m³</w:t>
            </w:r>
          </w:p>
          <w:p>
            <w:pPr>
              <w:jc w:val="left"/>
            </w:pPr>
            <w:r>
              <w:t>(79,8%)</w:t>
            </w:r>
          </w:p>
        </w:tc>
      </w:tr>
      <w:tr>
        <w:tc>
          <w:tcPr>
            <w:tcW w:type="dxa" w:w="1440"/>
            <w:noWrap/>
          </w:tcPr>
          <w:p>
            <w:r>
              <w:t>5</w:t>
            </w:r>
          </w:p>
        </w:tc>
        <w:tc>
          <w:tcPr>
            <w:tcW w:type="dxa" w:w="1440"/>
            <w:noWrap/>
          </w:tcPr>
          <w:p>
            <w:r>
              <w:t>Equitación</w:t>
            </w:r>
          </w:p>
        </w:tc>
        <w:tc>
          <w:tcPr>
            <w:tcW w:type="dxa" w:w="1440"/>
            <w:noWrap/>
          </w:tcPr>
          <w:p>
            <w:r>
              <w:t>294,4</w:t>
            </w:r>
          </w:p>
        </w:tc>
        <w:tc>
          <w:tcPr>
            <w:tcW w:type="dxa" w:w="1440"/>
            <w:noWrap/>
          </w:tcPr>
          <w:p>
            <w:r>
              <w:t>7</w:t>
            </w:r>
          </w:p>
        </w:tc>
        <w:tc>
          <w:tcPr>
            <w:tcW w:type="dxa" w:w="1440"/>
            <w:noWrap/>
          </w:tcPr>
          <w:p>
            <w:pPr>
              <w:jc w:val="left"/>
            </w:pPr>
            <w:r>
              <w:t>54 m³</w:t>
            </w:r>
          </w:p>
          <w:p>
            <w:pPr>
              <w:jc w:val="left"/>
            </w:pPr>
            <w:r>
              <w:t>(30 días, 100%)</w:t>
            </w:r>
          </w:p>
        </w:tc>
        <w:tc>
          <w:tcPr>
            <w:tcW w:type="dxa" w:w="1440"/>
            <w:noWrap/>
          </w:tcPr>
          <w:p>
            <w:pPr>
              <w:jc w:val="left"/>
            </w:pPr>
            <w:r>
              <w:t>185,3 m³</w:t>
            </w:r>
          </w:p>
          <w:p>
            <w:pPr>
              <w:jc w:val="left"/>
            </w:pPr>
            <w:r>
              <w:t>(62,9%)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4.821,1</w:t>
            </w:r>
          </w:p>
        </w:tc>
        <w:tc>
          <w:tcPr>
            <w:tcW w:type="dxa" w:w="1440"/>
            <w:noWrap/>
            <w:shd w:val="clear" w:fill="FFE6E6"/>
          </w:tcPr>
          <w:p>
            <w:pPr>
              <w:jc w:val="left"/>
            </w:pPr>
            <w:r>
              <w:rPr>
                <w:b/>
                <w:color w:val="FF0000"/>
              </w:rPr>
              <w:t>62</w:t>
            </w:r>
          </w:p>
        </w:tc>
        <w:tc>
          <w:tcPr>
            <w:tcW w:type="dxa" w:w="1440"/>
            <w:noWrap/>
            <w:shd w:val="clear" w:fill="FFE6E6"/>
          </w:tcPr>
          <w:p>
            <w:pPr>
              <w:jc w:val="left"/>
            </w:pPr>
            <w:r>
              <w:rPr>
                <w:b/>
                <w:color w:val="FF0000"/>
              </w:rPr>
              <w:t>1.130,8 m³</w:t>
            </w:r>
          </w:p>
        </w:tc>
        <w:tc>
          <w:tcPr>
            <w:tcW w:type="dxa" w:w="1440"/>
            <w:noWrap/>
            <w:shd w:val="clear" w:fill="FFE6E6"/>
          </w:tcPr>
          <w:p>
            <w:pPr>
              <w:jc w:val="left"/>
            </w:pPr>
            <w:r>
              <w:rPr>
                <w:b/>
                <w:color w:val="FF0000"/>
              </w:rPr>
              <w:t>3.877,1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RAIMUNDO TUPPER (09-04-26):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1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Raimundo Tupper registró 13 alerta(s) durante 13 día(s) del periodo analizado. La periodicidad de las alertas es intermitente (más del 20% de los días). Se identificó una proyección de filtración de 1.238,3 m³ ($1.577.643), lo que indica un patrón de fuga constante durante el periodo.</w:t>
      </w:r>
    </w:p>
    <w:p/>
    <w:p>
      <w:pPr>
        <w:keepNext/>
        <w:widowControl/>
        <w:spacing w:after="60"/>
      </w:pPr>
      <w:r>
        <w:rPr>
          <w:b/>
          <w:color w:val="003366"/>
        </w:rPr>
        <w:t>DÍA CON MAYOR CONSUMO NOCTURNO - EQUITACIÓN (10-04-26):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1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Equitación registró 7 alerta(s) durante 7 día(s) del periodo analizado. La periodicidad de las alertas es intermitente (más del 20% de los días). Se identificó una proyección de filtración de 185,3 m³ ($236.050), lo que indica un patrón de fuga constante durante el periodo.</w:t>
      </w:r>
    </w:p>
    <w:p/>
    <w:p>
      <w:pPr>
        <w:keepNext/>
        <w:widowControl/>
        <w:spacing w:after="60"/>
      </w:pPr>
      <w:r>
        <w:rPr>
          <w:b/>
          <w:color w:val="003366"/>
        </w:rPr>
        <w:t>DÍA CON MAYOR CONSUMO NOCTURNO - CALLE DE SERVICIO (10-04-26):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1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Calle de Servicio registró 21 alerta(s) durante 15 día(s) del periodo analizado. La periodicidad de las alertas es regular (más del 50% de los días). Se identificó una proyección de filtración de 855,5 m³ ($1.089.854), lo que indica un patrón de fuga constante durante el periodo.</w:t>
      </w:r>
    </w:p>
    <w:p/>
    <w:p>
      <w:pPr>
        <w:keepNext/>
        <w:widowControl/>
        <w:spacing w:after="60"/>
      </w:pPr>
      <w:r>
        <w:rPr>
          <w:b/>
          <w:color w:val="003366"/>
        </w:rPr>
        <w:t>DÍA CON MAYOR CONSUMO NOCTURNO - CANCHAS DE TENIS (26-04-26):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1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Canchas de Tenis registró 21 alerta(s) durante 17 día(s) del periodo analizado. La periodicidad de las alertas es regular (más del 50% de los días). Se identificó una proyección de filtración de 1.201,2 m³ ($1.530.321), lo que indica un patrón de fuga constante durante el periodo.</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Raimundo Tupper, Canchas de Tenis, Calle de Servicio, Club House CDUC y Equitación.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