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CDUC</w:t>
      </w:r>
    </w:p>
    <w:p>
      <w:pPr>
        <w:jc w:val="center"/>
      </w:pPr>
      <w:r>
        <w:t>MONITOREO WES</w:t>
        <w:br/>
        <w:t>Análisis consolidado de 5 puntos de monitoreo</w:t>
        <w:br/>
        <w:t>Rango: 01-05-26 - 31-05-26</w:t>
        <w:br/>
        <w:t>Generado: 28-05-26 18:53</w:t>
      </w:r>
    </w:p>
    <w:p>
      <w:pPr>
        <w:pStyle w:val="Heading1"/>
        <w:keepNext/>
        <w:widowControl/>
        <w:spacing w:after="60"/>
      </w:pPr>
      <w:r>
        <w:rPr>
          <w:b/>
          <w:color w:val="003366"/>
        </w:rPr>
        <w:t>RESUMEN EJECUTIVO AGREGADO</w:t>
      </w:r>
    </w:p>
    <w:p>
      <w:r>
        <w:t>Puntos de monitoreo analizados: 5.</w:t>
        <w:br/>
      </w:r>
      <w:r>
        <w:t>Consumo total agregado: 4.049,6 m³.</w:t>
        <w:br/>
      </w:r>
      <w:r>
        <w:t>Consumo promedio por punto: 809,9 m³.</w:t>
        <w:br/>
      </w:r>
      <w:r>
        <w:t>Total de alertas registradas: 37.</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Raimundo Tupper, con un total de 1.656,6 m³ durante el periodo analizado. Este valor representa un 104,5% por encima del promedio (809,9 m³ por punto), indicando una demanda significativamente superior a la media. Por otro lado, el punto con menor consumo es Equitación, con un total de 223,4 m³. Este valor representa un 72,4% por debajo del promedio, mostrando una demanda significativamente inferior. La diferencia entre el punto de mayor y menor consumo es considerable, siendo el consumo máximo aproximadamente 7,4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0"/>
        <w:gridCol w:w="1096"/>
        <w:gridCol w:w="1160"/>
        <w:gridCol w:w="1031"/>
        <w:gridCol w:w="1547"/>
        <w:gridCol w:w="154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Raimundo Tupper</w:t>
            </w:r>
          </w:p>
        </w:tc>
        <w:tc>
          <w:tcPr>
            <w:tcW w:type="dxa" w:w="1440"/>
            <w:noWrap/>
          </w:tcPr>
          <w:p>
            <w:r>
              <w:t>1.656,6</w:t>
            </w:r>
          </w:p>
        </w:tc>
        <w:tc>
          <w:tcPr>
            <w:tcW w:type="dxa" w:w="1440"/>
            <w:noWrap/>
          </w:tcPr>
          <w:p>
            <w:r>
              <w:t>11</w:t>
            </w:r>
          </w:p>
        </w:tc>
        <w:tc>
          <w:tcPr>
            <w:tcW w:type="dxa" w:w="1440"/>
            <w:noWrap/>
          </w:tcPr>
          <w:p>
            <w:pPr>
              <w:jc w:val="left"/>
            </w:pPr>
            <w:r>
              <w:t>421,7 m³</w:t>
            </w:r>
          </w:p>
          <w:p>
            <w:pPr>
              <w:jc w:val="left"/>
            </w:pPr>
            <w:r>
              <w:t>(28 días, 100%)</w:t>
            </w:r>
          </w:p>
        </w:tc>
        <w:tc>
          <w:tcPr>
            <w:tcW w:type="dxa" w:w="1440"/>
            <w:noWrap/>
          </w:tcPr>
          <w:p>
            <w:pPr>
              <w:jc w:val="left"/>
            </w:pPr>
            <w:r>
              <w:t>1.445,8 m³</w:t>
            </w:r>
          </w:p>
          <w:p>
            <w:pPr>
              <w:jc w:val="left"/>
            </w:pPr>
            <w:r>
              <w:t>(87,3%)</w:t>
            </w:r>
          </w:p>
        </w:tc>
      </w:tr>
      <w:tr>
        <w:tc>
          <w:tcPr>
            <w:tcW w:type="dxa" w:w="1440"/>
            <w:noWrap/>
          </w:tcPr>
          <w:p>
            <w:r>
              <w:t>2</w:t>
            </w:r>
          </w:p>
        </w:tc>
        <w:tc>
          <w:tcPr>
            <w:tcW w:type="dxa" w:w="1440"/>
            <w:noWrap/>
          </w:tcPr>
          <w:p>
            <w:r>
              <w:t>Canchas de Tenis</w:t>
            </w:r>
          </w:p>
        </w:tc>
        <w:tc>
          <w:tcPr>
            <w:tcW w:type="dxa" w:w="1440"/>
            <w:noWrap/>
          </w:tcPr>
          <w:p>
            <w:r>
              <w:t>1.435,4</w:t>
            </w:r>
          </w:p>
        </w:tc>
        <w:tc>
          <w:tcPr>
            <w:tcW w:type="dxa" w:w="1440"/>
            <w:noWrap/>
          </w:tcPr>
          <w:p>
            <w:r>
              <w:t>9</w:t>
            </w:r>
          </w:p>
        </w:tc>
        <w:tc>
          <w:tcPr>
            <w:tcW w:type="dxa" w:w="1440"/>
            <w:noWrap/>
          </w:tcPr>
          <w:p>
            <w:pPr>
              <w:jc w:val="left"/>
            </w:pPr>
            <w:r>
              <w:t>369,1 m³</w:t>
            </w:r>
          </w:p>
          <w:p>
            <w:pPr>
              <w:jc w:val="left"/>
            </w:pPr>
            <w:r>
              <w:t>(28 días, 100%)</w:t>
            </w:r>
          </w:p>
        </w:tc>
        <w:tc>
          <w:tcPr>
            <w:tcW w:type="dxa" w:w="1440"/>
            <w:noWrap/>
          </w:tcPr>
          <w:p>
            <w:pPr>
              <w:jc w:val="left"/>
            </w:pPr>
            <w:r>
              <w:t>1.265,6 m³</w:t>
            </w:r>
          </w:p>
          <w:p>
            <w:pPr>
              <w:jc w:val="left"/>
            </w:pPr>
            <w:r>
              <w:t>(88,2%)</w:t>
            </w:r>
          </w:p>
        </w:tc>
      </w:tr>
      <w:tr>
        <w:tc>
          <w:tcPr>
            <w:tcW w:type="dxa" w:w="1440"/>
            <w:noWrap/>
          </w:tcPr>
          <w:p>
            <w:r>
              <w:t>3</w:t>
            </w:r>
          </w:p>
        </w:tc>
        <w:tc>
          <w:tcPr>
            <w:tcW w:type="dxa" w:w="1440"/>
            <w:noWrap/>
          </w:tcPr>
          <w:p>
            <w:r>
              <w:t>Club House CDUC</w:t>
            </w:r>
          </w:p>
        </w:tc>
        <w:tc>
          <w:tcPr>
            <w:tcW w:type="dxa" w:w="1440"/>
            <w:noWrap/>
          </w:tcPr>
          <w:p>
            <w:r>
              <w:t>462,4</w:t>
            </w:r>
          </w:p>
        </w:tc>
        <w:tc>
          <w:tcPr>
            <w:tcW w:type="dxa" w:w="1440"/>
            <w:noWrap/>
          </w:tcPr>
          <w:p>
            <w:r>
              <w:t>1</w:t>
            </w:r>
          </w:p>
        </w:tc>
        <w:tc>
          <w:tcPr>
            <w:tcW w:type="dxa" w:w="1440"/>
            <w:noWrap/>
          </w:tcPr>
          <w:p>
            <w:pPr>
              <w:jc w:val="left"/>
            </w:pPr>
            <w:r>
              <w:t>92,3 m³</w:t>
            </w:r>
          </w:p>
          <w:p>
            <w:pPr>
              <w:jc w:val="left"/>
            </w:pPr>
            <w:r>
              <w:t>(27 días, 96,4%)</w:t>
            </w:r>
          </w:p>
        </w:tc>
        <w:tc>
          <w:tcPr>
            <w:tcW w:type="dxa" w:w="1440"/>
            <w:noWrap/>
          </w:tcPr>
          <w:p>
            <w:pPr>
              <w:jc w:val="left"/>
            </w:pPr>
            <w:r>
              <w:t>316,6 m³</w:t>
            </w:r>
          </w:p>
          <w:p>
            <w:pPr>
              <w:jc w:val="left"/>
            </w:pPr>
            <w:r>
              <w:t>(68,5%)</w:t>
            </w:r>
          </w:p>
        </w:tc>
      </w:tr>
      <w:tr>
        <w:tc>
          <w:tcPr>
            <w:tcW w:type="dxa" w:w="1440"/>
            <w:noWrap/>
          </w:tcPr>
          <w:p>
            <w:r>
              <w:t>4</w:t>
            </w:r>
          </w:p>
        </w:tc>
        <w:tc>
          <w:tcPr>
            <w:tcW w:type="dxa" w:w="1440"/>
            <w:noWrap/>
          </w:tcPr>
          <w:p>
            <w:r>
              <w:t>Calle de Servicio</w:t>
            </w:r>
          </w:p>
        </w:tc>
        <w:tc>
          <w:tcPr>
            <w:tcW w:type="dxa" w:w="1440"/>
            <w:noWrap/>
          </w:tcPr>
          <w:p>
            <w:r>
              <w:t>271,8</w:t>
            </w:r>
          </w:p>
        </w:tc>
        <w:tc>
          <w:tcPr>
            <w:tcW w:type="dxa" w:w="1440"/>
            <w:noWrap/>
          </w:tcPr>
          <w:p>
            <w:r>
              <w:t>13</w:t>
            </w:r>
          </w:p>
        </w:tc>
        <w:tc>
          <w:tcPr>
            <w:tcW w:type="dxa" w:w="1440"/>
            <w:noWrap/>
          </w:tcPr>
          <w:p>
            <w:pPr>
              <w:jc w:val="left"/>
            </w:pPr>
            <w:r>
              <w:t>81,4 m³</w:t>
            </w:r>
          </w:p>
          <w:p>
            <w:pPr>
              <w:jc w:val="left"/>
            </w:pPr>
            <w:r>
              <w:t>(21 días, 95,5%)</w:t>
            </w:r>
          </w:p>
        </w:tc>
        <w:tc>
          <w:tcPr>
            <w:tcW w:type="dxa" w:w="1440"/>
            <w:noWrap/>
          </w:tcPr>
          <w:p>
            <w:pPr>
              <w:jc w:val="left"/>
            </w:pPr>
            <w:r>
              <w:t>279,1 m³</w:t>
            </w:r>
          </w:p>
          <w:p>
            <w:pPr>
              <w:jc w:val="left"/>
            </w:pPr>
            <w:r>
              <w:t>(102,7%)</w:t>
            </w:r>
          </w:p>
        </w:tc>
      </w:tr>
      <w:tr>
        <w:tc>
          <w:tcPr>
            <w:tcW w:type="dxa" w:w="1440"/>
            <w:noWrap/>
          </w:tcPr>
          <w:p>
            <w:r>
              <w:t>5</w:t>
            </w:r>
          </w:p>
        </w:tc>
        <w:tc>
          <w:tcPr>
            <w:tcW w:type="dxa" w:w="1440"/>
            <w:noWrap/>
          </w:tcPr>
          <w:p>
            <w:r>
              <w:t>Equitación</w:t>
            </w:r>
          </w:p>
        </w:tc>
        <w:tc>
          <w:tcPr>
            <w:tcW w:type="dxa" w:w="1440"/>
            <w:noWrap/>
          </w:tcPr>
          <w:p>
            <w:r>
              <w:t>223,4</w:t>
            </w:r>
          </w:p>
        </w:tc>
        <w:tc>
          <w:tcPr>
            <w:tcW w:type="dxa" w:w="1440"/>
            <w:noWrap/>
          </w:tcPr>
          <w:p>
            <w:r>
              <w:t>3</w:t>
            </w:r>
          </w:p>
        </w:tc>
        <w:tc>
          <w:tcPr>
            <w:tcW w:type="dxa" w:w="1440"/>
            <w:noWrap/>
          </w:tcPr>
          <w:p>
            <w:pPr>
              <w:jc w:val="left"/>
            </w:pPr>
            <w:r>
              <w:t>47,5 m³</w:t>
            </w:r>
          </w:p>
          <w:p>
            <w:pPr>
              <w:jc w:val="left"/>
            </w:pPr>
            <w:r>
              <w:t>(28 días, 100%)</w:t>
            </w:r>
          </w:p>
        </w:tc>
        <w:tc>
          <w:tcPr>
            <w:tcW w:type="dxa" w:w="1440"/>
            <w:noWrap/>
          </w:tcPr>
          <w:p>
            <w:pPr>
              <w:jc w:val="left"/>
            </w:pPr>
            <w:r>
              <w:t>162,7 m³</w:t>
            </w:r>
          </w:p>
          <w:p>
            <w:pPr>
              <w:jc w:val="left"/>
            </w:pPr>
            <w:r>
              <w:t>(72,8%)</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4.049,6</w:t>
            </w:r>
          </w:p>
        </w:tc>
        <w:tc>
          <w:tcPr>
            <w:tcW w:type="dxa" w:w="1440"/>
            <w:noWrap/>
            <w:shd w:val="clear" w:fill="FFE6E6"/>
          </w:tcPr>
          <w:p>
            <w:pPr>
              <w:jc w:val="left"/>
            </w:pPr>
            <w:r>
              <w:rPr>
                <w:b/>
                <w:color w:val="FF0000"/>
              </w:rPr>
              <w:t>37</w:t>
            </w:r>
          </w:p>
        </w:tc>
        <w:tc>
          <w:tcPr>
            <w:tcW w:type="dxa" w:w="1440"/>
            <w:noWrap/>
            <w:shd w:val="clear" w:fill="FFE6E6"/>
          </w:tcPr>
          <w:p>
            <w:pPr>
              <w:jc w:val="left"/>
            </w:pPr>
            <w:r>
              <w:rPr>
                <w:b/>
                <w:color w:val="FF0000"/>
              </w:rPr>
              <w:t>1.012 m³</w:t>
            </w:r>
          </w:p>
        </w:tc>
        <w:tc>
          <w:tcPr>
            <w:tcW w:type="dxa" w:w="1440"/>
            <w:noWrap/>
            <w:shd w:val="clear" w:fill="FFE6E6"/>
          </w:tcPr>
          <w:p>
            <w:pPr>
              <w:jc w:val="left"/>
            </w:pPr>
            <w:r>
              <w:rPr>
                <w:b/>
                <w:color w:val="FF0000"/>
              </w:rPr>
              <w:t>3.469,8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CLUB HOUSE CDUC (28-05-26):</w:t>
      </w:r>
    </w:p>
    <w:p>
      <w:pPr>
        <w:keepNext/>
        <w:widowControl/>
        <w:spacing w:after="60"/>
        <w:jc w:val="center"/>
      </w:pPr>
      <w:r>
        <w:drawing>
          <wp:inline xmlns:a="http://schemas.openxmlformats.org/drawingml/2006/main" xmlns:pic="http://schemas.openxmlformats.org/drawingml/2006/picture">
            <wp:extent cx="5486400" cy="2704355"/>
            <wp:docPr id="3" name="Picture 3"/>
            <wp:cNvGraphicFramePr>
              <a:graphicFrameLocks noChangeAspect="1"/>
            </wp:cNvGraphicFramePr>
            <a:graphic>
              <a:graphicData uri="http://schemas.openxmlformats.org/drawingml/2006/picture">
                <pic:pic>
                  <pic:nvPicPr>
                    <pic:cNvPr id="0" name="chart_max_nocturnal_000021_01.png"/>
                    <pic:cNvPicPr/>
                  </pic:nvPicPr>
                  <pic:blipFill>
                    <a:blip r:embed="rId12"/>
                    <a:stretch>
                      <a:fillRect/>
                    </a:stretch>
                  </pic:blipFill>
                  <pic:spPr>
                    <a:xfrm>
                      <a:off x="0" y="0"/>
                      <a:ext cx="5486400" cy="2704355"/>
                    </a:xfrm>
                    <a:prstGeom prst="rect"/>
                  </pic:spPr>
                </pic:pic>
              </a:graphicData>
            </a:graphic>
          </wp:inline>
        </w:drawing>
      </w:r>
    </w:p>
    <w:p>
      <w:pPr>
        <w:jc w:val="both"/>
      </w:pPr>
      <w:r>
        <w:rPr>
          <w:color w:val="000000"/>
        </w:rPr>
        <w:t>El nodo Club House CDUC registró 1 alerta(s) durante 1 día(s) del periodo analizado. La periodicidad de las alertas es puntual (menos del 20% de los días). Se identificó una proyección de filtración de 316,6 m³ ($403.341), lo que indica un patrón de fuga constante durante el periodo.</w:t>
      </w:r>
    </w:p>
    <w:p/>
    <w:p>
      <w:pPr>
        <w:keepNext/>
        <w:widowControl/>
        <w:spacing w:after="60"/>
      </w:pPr>
      <w:r>
        <w:rPr>
          <w:b/>
          <w:color w:val="003366"/>
        </w:rPr>
        <w:t>DÍA CON MAYOR CONSUMO NOCTURNO - RAIMUNDO TUPPER (18-05-26):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1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Raimundo Tupper registró 11 alerta(s) durante 10 día(s) del periodo analizado. La periodicidad de las alertas es intermitente (más del 20% de los días). Se identificó una proyección de filtración de 1.445,8 m³ ($1.841.887), lo que indica un patrón de fuga constante durante el periodo.</w:t>
      </w:r>
    </w:p>
    <w:p/>
    <w:p>
      <w:pPr>
        <w:keepNext/>
        <w:widowControl/>
        <w:spacing w:after="60"/>
      </w:pPr>
      <w:r>
        <w:rPr>
          <w:b/>
          <w:color w:val="003366"/>
        </w:rPr>
        <w:t>DÍA CON MAYOR CONSUMO NOCTURNO - EQUITACIÓN (26-05-26):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1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Equitación registró 3 alerta(s) durante 3 día(s) del periodo analizado. La periodicidad de las alertas es puntual (menos del 20% de los días). Se identificó una proyección de filtración de 162,7 m³ ($207.321), lo que indica un patrón de fuga constante durante el periodo.</w:t>
      </w:r>
    </w:p>
    <w:p/>
    <w:p>
      <w:pPr>
        <w:keepNext/>
        <w:widowControl/>
        <w:spacing w:after="60"/>
      </w:pPr>
      <w:r>
        <w:rPr>
          <w:b/>
          <w:color w:val="003366"/>
        </w:rPr>
        <w:t>DÍA CON MAYOR CONSUMO NOCTURNO - CALLE DE SERVICIO (04-05-26):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1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Calle de Servicio registró 13 alerta(s) durante 12 día(s) del periodo analizado. La periodicidad de las alertas es intermitente (más del 20% de los días). Se identificó una proyección de filtración de 279,1 m³ ($355.597), lo que indica un patrón de fuga constante durante el periodo.</w:t>
      </w:r>
    </w:p>
    <w:p/>
    <w:p>
      <w:pPr>
        <w:keepNext/>
        <w:widowControl/>
        <w:spacing w:after="60"/>
      </w:pPr>
      <w:r>
        <w:rPr>
          <w:b/>
          <w:color w:val="003366"/>
        </w:rPr>
        <w:t>DÍA CON MAYOR CONSUMO NOCTURNO - CANCHAS DE TENIS (12-05-26):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1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Canchas de Tenis registró 9 alerta(s) durante 9 día(s) del periodo analizado. La periodicidad de las alertas es intermitente (más del 20% de los días). Se identificó una proyección de filtración de 1.265,6 m³ ($1.612.329),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Raimundo Tupper, Canchas de Tenis, Club House CDUC, Calle de Servicio y Equitación.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