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COPEC</w:t>
      </w:r>
    </w:p>
    <w:p>
      <w:pPr>
        <w:jc w:val="center"/>
      </w:pPr>
      <w:r>
        <w:t>MONITOREO WES</w:t>
        <w:br/>
        <w:t>Análisis consolidado de 11 puntos de monitoreo</w:t>
        <w:br/>
        <w:t>Rango: 01-03-26 - 31-03-26</w:t>
        <w:br/>
        <w:t>Generado: 02-04-26 15:01</w:t>
      </w:r>
    </w:p>
    <w:p>
      <w:pPr>
        <w:jc w:val="both"/>
      </w:pPr>
      <w:r>
        <w:t>Nota de periodo: el punto Oficina Admin. (000009-01) no se incluye en este agregado por falla del sensor de pulso que generó monitoreo defectuoso en el periodo.</w:t>
      </w:r>
    </w:p>
    <w:p/>
    <w:p>
      <w:pPr>
        <w:pStyle w:val="Heading1"/>
        <w:keepNext/>
        <w:widowControl/>
        <w:spacing w:after="60"/>
      </w:pPr>
      <w:r>
        <w:rPr>
          <w:b/>
          <w:color w:val="003366"/>
        </w:rPr>
        <w:t>RESUMEN EJECUTIVO AGREGADO</w:t>
      </w:r>
    </w:p>
    <w:p>
      <w:r>
        <w:t>Puntos de monitoreo analizados: 11.</w:t>
        <w:br/>
      </w:r>
      <w:r>
        <w:t>Consumo total agregado: 9.944,6 m³.</w:t>
        <w:br/>
      </w:r>
      <w:r>
        <w:t>Consumo promedio por punto: 904,1 m³.</w:t>
        <w:br/>
      </w:r>
      <w:r>
        <w:t>Total de alertas registradas: 82.</w:t>
        <w:br/>
      </w:r>
      <w:r>
        <w:t>Promedio de alerta agregado: 0,7 m³/h.</w:t>
        <w:br/>
      </w:r>
      <w:r>
        <w:t>Proyección diaria de consumo nocturno agregada: 16,4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Copec Riego, con un total de 4.622 m³ durante el periodo analizado. Este valor representa un 411,2% por encima del promedio (904,1 m³ por punto), indicando una demanda significativamente superior a la media. Por otro lado, el punto con menor consumo es Copec Costanera - ¿?,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49"/>
        <w:gridCol w:w="1792"/>
        <w:gridCol w:w="1060"/>
        <w:gridCol w:w="1060"/>
        <w:gridCol w:w="1456"/>
        <w:gridCol w:w="1344"/>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Copec Riego</w:t>
            </w:r>
          </w:p>
        </w:tc>
        <w:tc>
          <w:tcPr>
            <w:tcW w:type="dxa" w:w="1440"/>
            <w:noWrap/>
          </w:tcPr>
          <w:p>
            <w:r>
              <w:t>4.622</w:t>
            </w:r>
          </w:p>
        </w:tc>
        <w:tc>
          <w:tcPr>
            <w:tcW w:type="dxa" w:w="1440"/>
            <w:noWrap/>
          </w:tcPr>
          <w:p>
            <w:r>
              <w:t>19</w:t>
            </w:r>
          </w:p>
        </w:tc>
        <w:tc>
          <w:tcPr>
            <w:tcW w:type="dxa" w:w="1440"/>
            <w:noWrap/>
          </w:tcPr>
          <w:p>
            <w:pPr>
              <w:jc w:val="left"/>
            </w:pPr>
            <w:r>
              <w:t>1.376,7 m³</w:t>
            </w:r>
          </w:p>
          <w:p>
            <w:pPr>
              <w:jc w:val="left"/>
            </w:pPr>
            <w:r>
              <w:t>(31 días, 100%)</w:t>
            </w:r>
          </w:p>
        </w:tc>
        <w:tc>
          <w:tcPr>
            <w:tcW w:type="dxa" w:w="1440"/>
            <w:noWrap/>
          </w:tcPr>
          <w:p>
            <w:pPr>
              <w:jc w:val="left"/>
            </w:pPr>
            <w:r>
              <w:t>5.506,8 m³</w:t>
            </w:r>
          </w:p>
          <w:p>
            <w:pPr>
              <w:jc w:val="left"/>
            </w:pPr>
            <w:r>
              <w:t>(119,1%)</w:t>
            </w:r>
          </w:p>
        </w:tc>
      </w:tr>
      <w:tr>
        <w:tc>
          <w:tcPr>
            <w:tcW w:type="dxa" w:w="1440"/>
            <w:noWrap/>
          </w:tcPr>
          <w:p>
            <w:r>
              <w:t>2</w:t>
            </w:r>
          </w:p>
        </w:tc>
        <w:tc>
          <w:tcPr>
            <w:tcW w:type="dxa" w:w="1440"/>
            <w:noWrap/>
          </w:tcPr>
          <w:p>
            <w:r>
              <w:t>Copec Matriz Principal</w:t>
            </w:r>
          </w:p>
        </w:tc>
        <w:tc>
          <w:tcPr>
            <w:tcW w:type="dxa" w:w="1440"/>
            <w:noWrap/>
          </w:tcPr>
          <w:p>
            <w:r>
              <w:t>3.870,7</w:t>
            </w:r>
          </w:p>
        </w:tc>
        <w:tc>
          <w:tcPr>
            <w:tcW w:type="dxa" w:w="1440"/>
            <w:noWrap/>
          </w:tcPr>
          <w:p>
            <w:r>
              <w:t>6</w:t>
            </w:r>
          </w:p>
        </w:tc>
        <w:tc>
          <w:tcPr>
            <w:tcW w:type="dxa" w:w="1440"/>
            <w:noWrap/>
          </w:tcPr>
          <w:p>
            <w:pPr>
              <w:jc w:val="left"/>
            </w:pPr>
            <w:r>
              <w:t>1.065,2 m³</w:t>
            </w:r>
          </w:p>
          <w:p>
            <w:pPr>
              <w:jc w:val="left"/>
            </w:pPr>
            <w:r>
              <w:t>(31 días, 100%)</w:t>
            </w:r>
          </w:p>
        </w:tc>
        <w:tc>
          <w:tcPr>
            <w:tcW w:type="dxa" w:w="1440"/>
            <w:noWrap/>
          </w:tcPr>
          <w:p>
            <w:pPr>
              <w:jc w:val="left"/>
            </w:pPr>
            <w:r>
              <w:t>4.261 m³</w:t>
            </w:r>
          </w:p>
          <w:p>
            <w:pPr>
              <w:jc w:val="left"/>
            </w:pPr>
            <w:r>
              <w:t>(110,1%)</w:t>
            </w:r>
          </w:p>
        </w:tc>
      </w:tr>
      <w:tr>
        <w:tc>
          <w:tcPr>
            <w:tcW w:type="dxa" w:w="1440"/>
            <w:noWrap/>
          </w:tcPr>
          <w:p>
            <w:r>
              <w:t>3</w:t>
            </w:r>
          </w:p>
        </w:tc>
        <w:tc>
          <w:tcPr>
            <w:tcW w:type="dxa" w:w="1440"/>
            <w:noWrap/>
          </w:tcPr>
          <w:p>
            <w:r>
              <w:t>Lavado Automático Sur</w:t>
            </w:r>
          </w:p>
        </w:tc>
        <w:tc>
          <w:tcPr>
            <w:tcW w:type="dxa" w:w="1440"/>
            <w:noWrap/>
          </w:tcPr>
          <w:p>
            <w:r>
              <w:t>783,5</w:t>
            </w:r>
          </w:p>
        </w:tc>
        <w:tc>
          <w:tcPr>
            <w:tcW w:type="dxa" w:w="1440"/>
            <w:noWrap/>
          </w:tcPr>
          <w:p>
            <w:r>
              <w:t>8</w:t>
            </w:r>
          </w:p>
        </w:tc>
        <w:tc>
          <w:tcPr>
            <w:tcW w:type="dxa" w:w="1440"/>
            <w:noWrap/>
          </w:tcPr>
          <w:p>
            <w:pPr>
              <w:jc w:val="left"/>
            </w:pPr>
            <w:r>
              <w:t>149,9 m³</w:t>
            </w:r>
          </w:p>
          <w:p>
            <w:pPr>
              <w:jc w:val="left"/>
            </w:pPr>
            <w:r>
              <w:t>(31 días, 100%)</w:t>
            </w:r>
          </w:p>
        </w:tc>
        <w:tc>
          <w:tcPr>
            <w:tcW w:type="dxa" w:w="1440"/>
            <w:noWrap/>
          </w:tcPr>
          <w:p>
            <w:pPr>
              <w:jc w:val="left"/>
            </w:pPr>
            <w:r>
              <w:t>599,4 m³</w:t>
            </w:r>
          </w:p>
          <w:p>
            <w:pPr>
              <w:jc w:val="left"/>
            </w:pPr>
            <w:r>
              <w:t>(76,5%)</w:t>
            </w:r>
          </w:p>
        </w:tc>
      </w:tr>
      <w:tr>
        <w:tc>
          <w:tcPr>
            <w:tcW w:type="dxa" w:w="1440"/>
            <w:noWrap/>
          </w:tcPr>
          <w:p>
            <w:r>
              <w:t>4</w:t>
            </w:r>
          </w:p>
        </w:tc>
        <w:tc>
          <w:tcPr>
            <w:tcW w:type="dxa" w:w="1440"/>
            <w:noWrap/>
          </w:tcPr>
          <w:p>
            <w:r>
              <w:t>Lavado Automático Norte</w:t>
            </w:r>
          </w:p>
        </w:tc>
        <w:tc>
          <w:tcPr>
            <w:tcW w:type="dxa" w:w="1440"/>
            <w:noWrap/>
          </w:tcPr>
          <w:p>
            <w:r>
              <w:t>192,4</w:t>
            </w:r>
          </w:p>
        </w:tc>
        <w:tc>
          <w:tcPr>
            <w:tcW w:type="dxa" w:w="1440"/>
            <w:noWrap/>
          </w:tcPr>
          <w:p>
            <w:r>
              <w:t>4</w:t>
            </w:r>
          </w:p>
        </w:tc>
        <w:tc>
          <w:tcPr>
            <w:tcW w:type="dxa" w:w="1440"/>
            <w:noWrap/>
          </w:tcPr>
          <w:p>
            <w:pPr>
              <w:jc w:val="left"/>
            </w:pPr>
            <w:r>
              <w:t>2,7 m³</w:t>
            </w:r>
          </w:p>
          <w:p>
            <w:pPr>
              <w:jc w:val="left"/>
            </w:pPr>
            <w:r>
              <w:t>(31 días, 100%)</w:t>
            </w:r>
          </w:p>
        </w:tc>
        <w:tc>
          <w:tcPr>
            <w:tcW w:type="dxa" w:w="1440"/>
            <w:noWrap/>
          </w:tcPr>
          <w:p>
            <w:pPr>
              <w:jc w:val="left"/>
            </w:pPr>
            <w:r>
              <w:t>10,6 m³</w:t>
            </w:r>
          </w:p>
          <w:p>
            <w:pPr>
              <w:jc w:val="left"/>
            </w:pPr>
            <w:r>
              <w:t>(5,5%)</w:t>
            </w:r>
          </w:p>
        </w:tc>
      </w:tr>
      <w:tr>
        <w:tc>
          <w:tcPr>
            <w:tcW w:type="dxa" w:w="1440"/>
            <w:noWrap/>
          </w:tcPr>
          <w:p>
            <w:r>
              <w:t>5</w:t>
            </w:r>
          </w:p>
        </w:tc>
        <w:tc>
          <w:tcPr>
            <w:tcW w:type="dxa" w:w="1440"/>
            <w:noWrap/>
          </w:tcPr>
          <w:p>
            <w:r>
              <w:t>Copec Costanera</w:t>
            </w:r>
          </w:p>
        </w:tc>
        <w:tc>
          <w:tcPr>
            <w:tcW w:type="dxa" w:w="1440"/>
            <w:noWrap/>
          </w:tcPr>
          <w:p>
            <w:r>
              <w:t>168,7</w:t>
            </w:r>
          </w:p>
        </w:tc>
        <w:tc>
          <w:tcPr>
            <w:tcW w:type="dxa" w:w="1440"/>
            <w:noWrap/>
          </w:tcPr>
          <w:p>
            <w:r>
              <w:t>5</w:t>
            </w:r>
          </w:p>
        </w:tc>
        <w:tc>
          <w:tcPr>
            <w:tcW w:type="dxa" w:w="1440"/>
            <w:noWrap/>
          </w:tcPr>
          <w:p>
            <w:pPr>
              <w:jc w:val="left"/>
            </w:pPr>
            <w:r>
              <w:t>39 m³</w:t>
            </w:r>
          </w:p>
          <w:p>
            <w:pPr>
              <w:jc w:val="left"/>
            </w:pPr>
            <w:r>
              <w:t>(26 días, 83,9%)</w:t>
            </w:r>
          </w:p>
        </w:tc>
        <w:tc>
          <w:tcPr>
            <w:tcW w:type="dxa" w:w="1440"/>
            <w:noWrap/>
          </w:tcPr>
          <w:p>
            <w:pPr>
              <w:jc w:val="left"/>
            </w:pPr>
            <w:r>
              <w:t>0,0 m³</w:t>
            </w:r>
          </w:p>
          <w:p>
            <w:pPr>
              <w:jc w:val="left"/>
            </w:pPr>
            <w:r>
              <w:t>(0,0%)</w:t>
            </w:r>
          </w:p>
        </w:tc>
      </w:tr>
      <w:tr>
        <w:tc>
          <w:tcPr>
            <w:tcW w:type="dxa" w:w="1440"/>
            <w:noWrap/>
          </w:tcPr>
          <w:p>
            <w:r>
              <w:t>6</w:t>
            </w:r>
          </w:p>
        </w:tc>
        <w:tc>
          <w:tcPr>
            <w:tcW w:type="dxa" w:w="1440"/>
            <w:noWrap/>
          </w:tcPr>
          <w:p>
            <w:r>
              <w:t>Copec Lavado Auto servicio Norte</w:t>
            </w:r>
          </w:p>
        </w:tc>
        <w:tc>
          <w:tcPr>
            <w:tcW w:type="dxa" w:w="1440"/>
            <w:noWrap/>
          </w:tcPr>
          <w:p>
            <w:r>
              <w:t>89,8</w:t>
            </w:r>
          </w:p>
        </w:tc>
        <w:tc>
          <w:tcPr>
            <w:tcW w:type="dxa" w:w="1440"/>
            <w:noWrap/>
          </w:tcPr>
          <w:p>
            <w:r>
              <w:t>0</w:t>
            </w:r>
          </w:p>
        </w:tc>
        <w:tc>
          <w:tcPr>
            <w:tcW w:type="dxa" w:w="1440"/>
            <w:noWrap/>
          </w:tcPr>
          <w:p>
            <w:pPr>
              <w:jc w:val="left"/>
            </w:pPr>
            <w:r>
              <w:t>13,9 m³</w:t>
            </w:r>
          </w:p>
          <w:p>
            <w:pPr>
              <w:jc w:val="left"/>
            </w:pPr>
            <w:r>
              <w:t>(31 días, 100%)</w:t>
            </w:r>
          </w:p>
        </w:tc>
        <w:tc>
          <w:tcPr>
            <w:tcW w:type="dxa" w:w="1440"/>
            <w:noWrap/>
          </w:tcPr>
          <w:p>
            <w:pPr>
              <w:jc w:val="left"/>
            </w:pPr>
            <w:r>
              <w:t>55,6 m³</w:t>
            </w:r>
          </w:p>
          <w:p>
            <w:pPr>
              <w:jc w:val="left"/>
            </w:pPr>
            <w:r>
              <w:t>(61,9%)</w:t>
            </w:r>
          </w:p>
        </w:tc>
      </w:tr>
      <w:tr>
        <w:tc>
          <w:tcPr>
            <w:tcW w:type="dxa" w:w="1440"/>
            <w:noWrap/>
          </w:tcPr>
          <w:p>
            <w:r>
              <w:t>7</w:t>
            </w:r>
          </w:p>
        </w:tc>
        <w:tc>
          <w:tcPr>
            <w:tcW w:type="dxa" w:w="1440"/>
            <w:noWrap/>
          </w:tcPr>
          <w:p>
            <w:r>
              <w:t>Copec Lavado Auto servicio Sur</w:t>
            </w:r>
          </w:p>
        </w:tc>
        <w:tc>
          <w:tcPr>
            <w:tcW w:type="dxa" w:w="1440"/>
            <w:noWrap/>
          </w:tcPr>
          <w:p>
            <w:r>
              <w:t>85,7</w:t>
            </w:r>
          </w:p>
        </w:tc>
        <w:tc>
          <w:tcPr>
            <w:tcW w:type="dxa" w:w="1440"/>
            <w:noWrap/>
          </w:tcPr>
          <w:p>
            <w:r>
              <w:t>6</w:t>
            </w:r>
          </w:p>
        </w:tc>
        <w:tc>
          <w:tcPr>
            <w:tcW w:type="dxa" w:w="1440"/>
            <w:noWrap/>
          </w:tcPr>
          <w:p>
            <w:pPr>
              <w:jc w:val="left"/>
            </w:pPr>
            <w:r>
              <w:t>9,1 m³</w:t>
            </w:r>
          </w:p>
          <w:p>
            <w:pPr>
              <w:jc w:val="left"/>
            </w:pPr>
            <w:r>
              <w:t>(31 días, 100%)</w:t>
            </w:r>
          </w:p>
        </w:tc>
        <w:tc>
          <w:tcPr>
            <w:tcW w:type="dxa" w:w="1440"/>
            <w:noWrap/>
          </w:tcPr>
          <w:p>
            <w:pPr>
              <w:jc w:val="left"/>
            </w:pPr>
            <w:r>
              <w:t>36,2 m³</w:t>
            </w:r>
          </w:p>
          <w:p>
            <w:pPr>
              <w:jc w:val="left"/>
            </w:pPr>
            <w:r>
              <w:t>(42,2%)</w:t>
            </w:r>
          </w:p>
        </w:tc>
      </w:tr>
      <w:tr>
        <w:tc>
          <w:tcPr>
            <w:tcW w:type="dxa" w:w="1440"/>
            <w:noWrap/>
          </w:tcPr>
          <w:p>
            <w:r>
              <w:t>8</w:t>
            </w:r>
          </w:p>
        </w:tc>
        <w:tc>
          <w:tcPr>
            <w:tcW w:type="dxa" w:w="1440"/>
            <w:noWrap/>
          </w:tcPr>
          <w:p>
            <w:r>
              <w:t>Copec Pronto Baños</w:t>
            </w:r>
          </w:p>
        </w:tc>
        <w:tc>
          <w:tcPr>
            <w:tcW w:type="dxa" w:w="1440"/>
            <w:noWrap/>
          </w:tcPr>
          <w:p>
            <w:r>
              <w:t>72,1</w:t>
            </w:r>
          </w:p>
        </w:tc>
        <w:tc>
          <w:tcPr>
            <w:tcW w:type="dxa" w:w="1440"/>
            <w:noWrap/>
          </w:tcPr>
          <w:p>
            <w:r>
              <w:t>24</w:t>
            </w:r>
          </w:p>
        </w:tc>
        <w:tc>
          <w:tcPr>
            <w:tcW w:type="dxa" w:w="1440"/>
            <w:noWrap/>
          </w:tcPr>
          <w:p>
            <w:pPr>
              <w:jc w:val="left"/>
            </w:pPr>
            <w:r>
              <w:t>13 m³</w:t>
            </w:r>
          </w:p>
          <w:p>
            <w:pPr>
              <w:jc w:val="left"/>
            </w:pPr>
            <w:r>
              <w:t>(31 días, 100%)</w:t>
            </w:r>
          </w:p>
        </w:tc>
        <w:tc>
          <w:tcPr>
            <w:tcW w:type="dxa" w:w="1440"/>
            <w:noWrap/>
          </w:tcPr>
          <w:p>
            <w:pPr>
              <w:jc w:val="left"/>
            </w:pPr>
            <w:r>
              <w:t>51,9 m³</w:t>
            </w:r>
          </w:p>
          <w:p>
            <w:pPr>
              <w:jc w:val="left"/>
            </w:pPr>
            <w:r>
              <w:t>(72%)</w:t>
            </w:r>
          </w:p>
        </w:tc>
      </w:tr>
      <w:tr>
        <w:tc>
          <w:tcPr>
            <w:tcW w:type="dxa" w:w="1440"/>
            <w:noWrap/>
          </w:tcPr>
          <w:p>
            <w:r>
              <w:t>9</w:t>
            </w:r>
          </w:p>
        </w:tc>
        <w:tc>
          <w:tcPr>
            <w:tcW w:type="dxa" w:w="1440"/>
            <w:noWrap/>
          </w:tcPr>
          <w:p>
            <w:r>
              <w:t>Copec Pronto Tienda</w:t>
            </w:r>
          </w:p>
        </w:tc>
        <w:tc>
          <w:tcPr>
            <w:tcW w:type="dxa" w:w="1440"/>
            <w:noWrap/>
          </w:tcPr>
          <w:p>
            <w:r>
              <w:t>59,8</w:t>
            </w:r>
          </w:p>
        </w:tc>
        <w:tc>
          <w:tcPr>
            <w:tcW w:type="dxa" w:w="1440"/>
            <w:noWrap/>
          </w:tcPr>
          <w:p>
            <w:r>
              <w:t>10</w:t>
            </w:r>
          </w:p>
        </w:tc>
        <w:tc>
          <w:tcPr>
            <w:tcW w:type="dxa" w:w="1440"/>
            <w:noWrap/>
          </w:tcPr>
          <w:p>
            <w:pPr>
              <w:jc w:val="left"/>
            </w:pPr>
            <w:r>
              <w:t>10 m³</w:t>
            </w:r>
          </w:p>
          <w:p>
            <w:pPr>
              <w:jc w:val="left"/>
            </w:pPr>
            <w:r>
              <w:t>(31 días, 100%)</w:t>
            </w:r>
          </w:p>
        </w:tc>
        <w:tc>
          <w:tcPr>
            <w:tcW w:type="dxa" w:w="1440"/>
            <w:noWrap/>
          </w:tcPr>
          <w:p>
            <w:pPr>
              <w:jc w:val="left"/>
            </w:pPr>
            <w:r>
              <w:t>40 m³</w:t>
            </w:r>
          </w:p>
          <w:p>
            <w:pPr>
              <w:jc w:val="left"/>
            </w:pPr>
            <w:r>
              <w:t>(66,9%)</w:t>
            </w:r>
          </w:p>
        </w:tc>
      </w:tr>
      <w:tr>
        <w:tc>
          <w:tcPr>
            <w:tcW w:type="dxa" w:w="1440"/>
            <w:noWrap/>
          </w:tcPr>
          <w:p>
            <w:r>
              <w:t>10</w:t>
            </w:r>
          </w:p>
        </w:tc>
        <w:tc>
          <w:tcPr>
            <w:tcW w:type="dxa" w:w="1440"/>
            <w:noWrap/>
          </w:tcPr>
          <w:p>
            <w:r>
              <w:t>Estanque Reutilización</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11</w:t>
            </w:r>
          </w:p>
        </w:tc>
        <w:tc>
          <w:tcPr>
            <w:tcW w:type="dxa" w:w="1440"/>
            <w:noWrap/>
          </w:tcPr>
          <w:p>
            <w:r>
              <w:t>Copec Costanera - ¿?</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9.944,6</w:t>
            </w:r>
          </w:p>
        </w:tc>
        <w:tc>
          <w:tcPr>
            <w:tcW w:type="dxa" w:w="1440"/>
            <w:noWrap/>
            <w:shd w:val="clear" w:fill="FFE6E6"/>
          </w:tcPr>
          <w:p>
            <w:pPr>
              <w:jc w:val="left"/>
            </w:pPr>
            <w:r>
              <w:rPr>
                <w:b/>
                <w:color w:val="FF0000"/>
              </w:rPr>
              <w:t>82</w:t>
            </w:r>
          </w:p>
        </w:tc>
        <w:tc>
          <w:tcPr>
            <w:tcW w:type="dxa" w:w="1440"/>
            <w:noWrap/>
            <w:shd w:val="clear" w:fill="FFE6E6"/>
          </w:tcPr>
          <w:p>
            <w:pPr>
              <w:jc w:val="left"/>
            </w:pPr>
            <w:r>
              <w:rPr>
                <w:b/>
                <w:color w:val="FF0000"/>
              </w:rPr>
              <w:t>2.679,4 m³</w:t>
            </w:r>
          </w:p>
        </w:tc>
        <w:tc>
          <w:tcPr>
            <w:tcW w:type="dxa" w:w="1440"/>
            <w:noWrap/>
            <w:shd w:val="clear" w:fill="FFE6E6"/>
          </w:tcPr>
          <w:p>
            <w:pPr>
              <w:jc w:val="left"/>
            </w:pPr>
            <w:r>
              <w:rPr>
                <w:b/>
                <w:color w:val="FF0000"/>
              </w:rPr>
              <w:t>10.561,5 m³</w:t>
            </w:r>
          </w:p>
        </w:tc>
      </w:tr>
    </w:tbl>
    <w:p/>
    <w:p>
      <w:pPr>
        <w:keepNext/>
        <w:widowControl/>
        <w:spacing w:after="60"/>
        <w:jc w:val="center"/>
      </w:pPr>
      <w:r>
        <w:drawing>
          <wp:inline xmlns:a="http://schemas.openxmlformats.org/drawingml/2006/main" xmlns:pic="http://schemas.openxmlformats.org/drawingml/2006/picture">
            <wp:extent cx="5486400" cy="3405831"/>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05831"/>
                    </a:xfrm>
                    <a:prstGeom prst="rect"/>
                  </pic:spPr>
                </pic:pic>
              </a:graphicData>
            </a:graphic>
          </wp:inline>
        </w:drawing>
      </w:r>
    </w:p>
    <w:p/>
    <w:p>
      <w:pPr>
        <w:keepNext/>
        <w:widowControl/>
        <w:spacing w:after="60"/>
      </w:pPr>
      <w:r>
        <w:rPr>
          <w:b/>
          <w:color w:val="003366"/>
        </w:rPr>
        <w:t>DÍA CON MAYOR CONSUMO NOCTURNO - COPEC COSTANERA (12-03-26):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9_0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Copec Costanera registró 5 alerta(s) durante 5 día(s) del periodo analizado. La periodicidad de las alertas es puntual (menos del 20% de los días).</w:t>
      </w:r>
    </w:p>
    <w:p/>
    <w:p>
      <w:pPr>
        <w:keepNext/>
        <w:widowControl/>
        <w:spacing w:after="60"/>
      </w:pPr>
      <w:r>
        <w:rPr>
          <w:b/>
          <w:color w:val="003366"/>
        </w:rPr>
        <w:t>DÍA CON MAYOR CONSUMO NOCTURNO - LAVADO AUTOMÁTICO NORTE (09-03-26):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9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Lavado Automático Norte registró 4 alerta(s) durante 4 día(s) del periodo analizado. La periodicidad de las alertas es puntual (menos del 20% de los días). Se identificó una proyección de filtración de 10,6 m³ ($13.513), lo que indica un patrón de fuga constante durante el periodo.</w:t>
      </w:r>
    </w:p>
    <w:p/>
    <w:p>
      <w:pPr>
        <w:keepNext/>
        <w:widowControl/>
        <w:spacing w:after="60"/>
      </w:pPr>
      <w:r>
        <w:rPr>
          <w:b/>
          <w:color w:val="003366"/>
        </w:rPr>
        <w:t>DÍA CON MAYOR CONSUMO NOCTURNO - LAVADO AUTOMÁTICO SUR (23-03-26):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9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Lavado Automático Sur registró 8 alerta(s) durante 7 día(s) del periodo analizado. La periodicidad de las alertas es intermitente (más del 20% de los días). Se identificó una proyección de filtración de 599,4 m³ ($761.289), lo que indica un patrón de fuga constante durante el periodo.</w:t>
      </w:r>
    </w:p>
    <w:p/>
    <w:p>
      <w:pPr>
        <w:keepNext/>
        <w:widowControl/>
        <w:spacing w:after="60"/>
      </w:pPr>
      <w:r>
        <w:rPr>
          <w:b/>
          <w:color w:val="003366"/>
        </w:rPr>
        <w:t>DÍA CON MAYOR CONSUMO NOCTURNO - COPEC RIEGO (09-03-26):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9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Copec Riego registró 19 alerta(s) durante 14 día(s) del periodo analizado. La periodicidad de las alertas es intermitente (más del 20% de los días). Se identificó una proyección de filtración de 5.506,8 m³ ($6.993.585), lo que indica un patrón de fuga constante durante el periodo.</w:t>
      </w:r>
    </w:p>
    <w:p/>
    <w:p>
      <w:pPr>
        <w:keepNext/>
        <w:widowControl/>
        <w:spacing w:after="60"/>
      </w:pPr>
      <w:r>
        <w:rPr>
          <w:b/>
          <w:color w:val="003366"/>
        </w:rPr>
        <w:t>DÍA CON MAYOR CONSUMO NOCTURNO - COPEC MATRIZ PRINCIPAL (13-03-26):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9_06.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Copec Matriz Principal registró 6 alerta(s) durante 5 día(s) del periodo analizado. La periodicidad de las alertas es puntual (menos del 20% de los días). Se identificó una proyección de filtración de 4.261 m³ ($5.411.470), lo que indica un patrón de fuga constante durante el periodo.</w:t>
      </w:r>
    </w:p>
    <w:p/>
    <w:p>
      <w:pPr>
        <w:keepNext/>
        <w:widowControl/>
        <w:spacing w:after="60"/>
      </w:pPr>
      <w:r>
        <w:rPr>
          <w:b/>
          <w:color w:val="003366"/>
        </w:rPr>
        <w:t>DÍA CON MAYOR CONSUMO NOCTURNO - COPEC PRONTO BAÑOS (08-03-26):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9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Copec Pronto Baños registró 24 alerta(s) durante 17 día(s) del periodo analizado. La periodicidad de las alertas es regular (más del 50% de los días). Se identificó una proyección de filtración de 51,9 m³ ($65.938), lo que indica un patrón de fuga constante durante el periodo.</w:t>
      </w:r>
    </w:p>
    <w:p/>
    <w:p>
      <w:pPr>
        <w:keepNext/>
        <w:widowControl/>
        <w:spacing w:after="60"/>
      </w:pPr>
      <w:r>
        <w:rPr>
          <w:b/>
          <w:color w:val="003366"/>
        </w:rPr>
        <w:t>DÍA CON MAYOR CONSUMO NOCTURNO - COPEC LAVADO AUTO SERVICIO SUR (03-03-26):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9_10.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Copec Lavado Auto servicio Sur registró 6 alerta(s) durante 5 día(s) del periodo analizado. La periodicidad de las alertas es puntual (menos del 20% de los días). Se identificó una proyección de filtración de 36,2 m³ ($45.974), lo que indica un patrón de fuga constante durante el periodo.</w:t>
      </w:r>
    </w:p>
    <w:p/>
    <w:p>
      <w:pPr>
        <w:keepNext/>
        <w:widowControl/>
        <w:spacing w:after="60"/>
      </w:pPr>
      <w:r>
        <w:rPr>
          <w:b/>
          <w:color w:val="003366"/>
        </w:rPr>
        <w:t>DÍA CON MAYOR CONSUMO NOCTURNO - COPEC PRONTO TIENDA (31-03-26):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9_11.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Copec Pronto Tienda registró 10 alerta(s) durante 9 día(s) del periodo analizado. La periodicidad de las alertas es intermitente (más del 20% de los días). Se identificó una proyección de filtración de 40 m³ ($50.800),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1" name="Picture 11"/>
            <wp:cNvGraphicFramePr>
              <a:graphicFrameLocks noChangeAspect="1"/>
            </wp:cNvGraphicFramePr>
            <a:graphic>
              <a:graphicData uri="http://schemas.openxmlformats.org/drawingml/2006/picture">
                <pic:pic>
                  <pic:nvPicPr>
                    <pic:cNvPr id="0" name="chart_comparacion_mensual_agregada.png"/>
                    <pic:cNvPicPr/>
                  </pic:nvPicPr>
                  <pic:blipFill>
                    <a:blip r:embed="rId20"/>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Copec Riego, Copec Matriz Principal, Lavado Automático Sur, Lavado Automático Norte, Copec Lavado Auto servicio Norte, Copec Lavado Auto servicio Sur, Copec Pronto Baños y Copec Pronto Tienda.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