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Reporte Agregado - COPEC</w:t>
      </w:r>
    </w:p>
    <w:p>
      <w:pPr>
        <w:jc w:val="center"/>
      </w:pPr>
      <w:r>
        <w:t>MONITOREO WES</w:t>
        <w:br/>
        <w:t>Análisis consolidado de 11 puntos de monitoreo</w:t>
        <w:br/>
        <w:t>Rango: 01-06-26 - 30-06-26</w:t>
        <w:br/>
        <w:t>Generado: 01-07-26 13:48</w:t>
      </w:r>
    </w:p>
    <w:p>
      <w:pPr>
        <w:pStyle w:val="Heading1"/>
        <w:keepNext/>
        <w:widowControl/>
        <w:spacing w:after="60"/>
      </w:pPr>
      <w:r>
        <w:rPr>
          <w:b/>
          <w:color w:val="003366"/>
        </w:rPr>
        <w:t>RESUMEN EJECUTIVO AGREGADO</w:t>
      </w:r>
    </w:p>
    <w:p>
      <w:r>
        <w:t>Puntos de monitoreo analizados: 11.</w:t>
        <w:br/>
      </w:r>
      <w:r>
        <w:t>Consumo total agregado: 5.452,4 m³.</w:t>
        <w:br/>
      </w:r>
      <w:r>
        <w:t>Consumo promedio por punto: 495,7 m³.</w:t>
        <w:br/>
      </w:r>
      <w:r>
        <w:t>Total de alertas registradas: 88.</w:t>
        <w:br/>
      </w:r>
      <w:r>
        <w:t>Promedio de alerta agregado: 8,4 m³/h.</w:t>
        <w:br/>
      </w:r>
      <w:r>
        <w:t>Proyección diaria de consumo nocturno agregada: 201,4 m³/día.</w:t>
        <w:br/>
      </w:r>
    </w:p>
    <w:p>
      <w:pPr>
        <w:pStyle w:val="Heading1"/>
        <w:keepNext/>
        <w:widowControl/>
        <w:spacing w:after="60"/>
      </w:pPr>
      <w:r>
        <w:rPr>
          <w:b/>
          <w:color w:val="003366"/>
        </w:rPr>
        <w:t>COMPARACIÓN DE CONSUMO POR PUNTO</w:t>
      </w:r>
    </w:p>
    <w:p>
      <w:pPr>
        <w:jc w:val="both"/>
      </w:pPr>
      <w:r>
        <w:rPr>
          <w:color w:val="000000"/>
        </w:rPr>
        <w:t>Consumo total registrado en cada punto de monitoreo durante el periodo analizado.</w:t>
      </w:r>
    </w:p>
    <w:p>
      <w:pPr>
        <w:keepNext/>
        <w:widowControl/>
        <w:spacing w:after="60"/>
        <w:jc w:val="center"/>
      </w:pPr>
      <w:r>
        <w:drawing>
          <wp:inline xmlns:a="http://schemas.openxmlformats.org/drawingml/2006/main" xmlns:pic="http://schemas.openxmlformats.org/drawingml/2006/picture">
            <wp:extent cx="5486400" cy="2729392"/>
            <wp:docPr id="1" name="Picture 1"/>
            <wp:cNvGraphicFramePr>
              <a:graphicFrameLocks noChangeAspect="1"/>
            </wp:cNvGraphicFramePr>
            <a:graphic>
              <a:graphicData uri="http://schemas.openxmlformats.org/drawingml/2006/picture">
                <pic:pic>
                  <pic:nvPicPr>
                    <pic:cNvPr id="0" name="chart_comparacion_nodos.png"/>
                    <pic:cNvPicPr/>
                  </pic:nvPicPr>
                  <pic:blipFill>
                    <a:blip r:embed="rId10"/>
                    <a:stretch>
                      <a:fillRect/>
                    </a:stretch>
                  </pic:blipFill>
                  <pic:spPr>
                    <a:xfrm>
                      <a:off x="0" y="0"/>
                      <a:ext cx="5486400" cy="2729392"/>
                    </a:xfrm>
                    <a:prstGeom prst="rect"/>
                  </pic:spPr>
                </pic:pic>
              </a:graphicData>
            </a:graphic>
          </wp:inline>
        </w:drawing>
      </w:r>
    </w:p>
    <w:p/>
    <w:p>
      <w:pPr>
        <w:jc w:val="both"/>
      </w:pPr>
      <w:r>
        <w:rPr>
          <w:color w:val="000000"/>
        </w:rPr>
        <w:t>El análisis comparativo revela que el punto con mayor consumo es Copec Matriz Principal, con un total de 3.748,6 m³ durante el periodo analizado. Este valor representa un 656,3% por encima del promedio (495,7 m³ por punto), indicando una demanda significativamente superior a la media. Por otro lado, el punto con menor consumo es Estanque Reutilización, con un total de 0 m³. Este valor representa un 100% por debajo del promedio, mostrando una demanda significativamente inferior. Los puntos muestran consumos relativamente homogéneos, con una diferencia limitada entre el máximo y el mínimo.</w:t>
      </w:r>
    </w:p>
    <w:p>
      <w:pPr>
        <w:pStyle w:val="Heading1"/>
        <w:keepNext/>
        <w:widowControl/>
        <w:spacing w:after="60"/>
      </w:pPr>
      <w:r>
        <w:rPr>
          <w:b/>
          <w:color w:val="003366"/>
        </w:rPr>
        <w:t>RESUMEN POR PUNTO DE MONITOREO</w:t>
      </w:r>
    </w:p>
    <w:p/>
    <w:p>
      <w:pPr>
        <w:keepNext/>
        <w:widowControl/>
        <w:spacing w:after="60"/>
      </w:pPr>
      <w:r>
        <w:rPr>
          <w:b/>
          <w:color w:val="003366"/>
        </w:rPr>
        <w:t>MÉTRICAS POR PUNTO</w:t>
      </w:r>
    </w:p>
    <w:tbl>
      <w:tblPr>
        <w:tblStyle w:val="LightGrid-Accent1"/>
        <w:tblW w:type="auto" w:w="0"/>
        <w:tblLook w:firstColumn="1" w:firstRow="1" w:lastColumn="0" w:lastRow="0" w:noHBand="0" w:noVBand="1" w:val="04A0"/>
      </w:tblPr>
      <w:tblGrid>
        <w:gridCol w:w="2654"/>
        <w:gridCol w:w="1810"/>
        <w:gridCol w:w="1062"/>
        <w:gridCol w:w="1062"/>
        <w:gridCol w:w="1414"/>
        <w:gridCol w:w="1358"/>
      </w:tblGrid>
      <w:tr>
        <w:tc>
          <w:tcPr>
            <w:tcW w:type="dxa" w:w="1440"/>
            <w:shd w:val="clear" w:fill="D9E1F2"/>
            <w:noWrap/>
          </w:tcPr>
          <w:p>
            <w:r>
              <w:t>Ranking</w:t>
            </w:r>
          </w:p>
        </w:tc>
        <w:tc>
          <w:tcPr>
            <w:tcW w:type="dxa" w:w="1440"/>
            <w:shd w:val="clear" w:fill="D9E1F2"/>
            <w:noWrap/>
          </w:tcPr>
          <w:p>
            <w:r>
              <w:t>Dispositivo</w:t>
            </w:r>
          </w:p>
        </w:tc>
        <w:tc>
          <w:tcPr>
            <w:tcW w:type="dxa" w:w="1440"/>
            <w:shd w:val="clear" w:fill="D9E1F2"/>
            <w:noWrap/>
          </w:tcPr>
          <w:p>
            <w:r>
              <w:t>Consumo total (m³)</w:t>
            </w:r>
          </w:p>
        </w:tc>
        <w:tc>
          <w:tcPr>
            <w:tcW w:type="dxa" w:w="1440"/>
            <w:shd w:val="clear" w:fill="D9E1F2"/>
            <w:noWrap/>
          </w:tcPr>
          <w:p>
            <w:r>
              <w:t>Número de alerta</w:t>
            </w:r>
          </w:p>
        </w:tc>
        <w:tc>
          <w:tcPr>
            <w:tcW w:type="dxa" w:w="1440"/>
            <w:shd w:val="clear" w:fill="D9E1F2"/>
            <w:noWrap/>
          </w:tcPr>
          <w:p>
            <w:r>
              <w:t>Consumo nocturno</w:t>
            </w:r>
          </w:p>
        </w:tc>
        <w:tc>
          <w:tcPr>
            <w:tcW w:type="dxa" w:w="1440"/>
            <w:shd w:val="clear" w:fill="D9E1F2"/>
            <w:noWrap/>
          </w:tcPr>
          <w:p>
            <w:r>
              <w:t>Proyección de filtración</w:t>
            </w:r>
          </w:p>
        </w:tc>
      </w:tr>
      <w:tr>
        <w:tc>
          <w:tcPr>
            <w:tcW w:type="dxa" w:w="1440"/>
            <w:noWrap/>
          </w:tcPr>
          <w:p>
            <w:r>
              <w:t>1</w:t>
            </w:r>
          </w:p>
        </w:tc>
        <w:tc>
          <w:tcPr>
            <w:tcW w:type="dxa" w:w="1440"/>
            <w:noWrap/>
          </w:tcPr>
          <w:p>
            <w:r>
              <w:t>Copec Matriz Principal</w:t>
            </w:r>
          </w:p>
        </w:tc>
        <w:tc>
          <w:tcPr>
            <w:tcW w:type="dxa" w:w="1440"/>
            <w:noWrap/>
          </w:tcPr>
          <w:p>
            <w:r>
              <w:t>3.748,6</w:t>
            </w:r>
          </w:p>
        </w:tc>
        <w:tc>
          <w:tcPr>
            <w:tcW w:type="dxa" w:w="1440"/>
            <w:noWrap/>
          </w:tcPr>
          <w:p>
            <w:r>
              <w:t>8</w:t>
            </w:r>
          </w:p>
        </w:tc>
        <w:tc>
          <w:tcPr>
            <w:tcW w:type="dxa" w:w="1440"/>
            <w:noWrap/>
          </w:tcPr>
          <w:p>
            <w:pPr>
              <w:jc w:val="left"/>
            </w:pPr>
            <w:r>
              <w:t>1.051 m³</w:t>
            </w:r>
          </w:p>
          <w:p>
            <w:pPr>
              <w:jc w:val="left"/>
            </w:pPr>
            <w:r>
              <w:t>(30 días, 100%)</w:t>
            </w:r>
          </w:p>
        </w:tc>
        <w:tc>
          <w:tcPr>
            <w:tcW w:type="dxa" w:w="1440"/>
            <w:noWrap/>
          </w:tcPr>
          <w:p>
            <w:pPr>
              <w:jc w:val="left"/>
            </w:pPr>
            <w:r>
              <w:t>3.603,3 m³</w:t>
            </w:r>
          </w:p>
          <w:p>
            <w:pPr>
              <w:jc w:val="left"/>
            </w:pPr>
            <w:r>
              <w:t>(96,1%)</w:t>
            </w:r>
          </w:p>
        </w:tc>
      </w:tr>
      <w:tr>
        <w:tc>
          <w:tcPr>
            <w:tcW w:type="dxa" w:w="1440"/>
            <w:noWrap/>
          </w:tcPr>
          <w:p>
            <w:r>
              <w:t>2</w:t>
            </w:r>
          </w:p>
        </w:tc>
        <w:tc>
          <w:tcPr>
            <w:tcW w:type="dxa" w:w="1440"/>
            <w:noWrap/>
          </w:tcPr>
          <w:p>
            <w:r>
              <w:t>Lavado Automático Norte</w:t>
            </w:r>
          </w:p>
        </w:tc>
        <w:tc>
          <w:tcPr>
            <w:tcW w:type="dxa" w:w="1440"/>
            <w:noWrap/>
          </w:tcPr>
          <w:p>
            <w:r>
              <w:t>783,6</w:t>
            </w:r>
          </w:p>
        </w:tc>
        <w:tc>
          <w:tcPr>
            <w:tcW w:type="dxa" w:w="1440"/>
            <w:noWrap/>
          </w:tcPr>
          <w:p>
            <w:r>
              <w:t>9</w:t>
            </w:r>
          </w:p>
        </w:tc>
        <w:tc>
          <w:tcPr>
            <w:tcW w:type="dxa" w:w="1440"/>
            <w:noWrap/>
          </w:tcPr>
          <w:p>
            <w:pPr>
              <w:jc w:val="left"/>
            </w:pPr>
            <w:r>
              <w:t>151,4 m³</w:t>
            </w:r>
          </w:p>
          <w:p>
            <w:pPr>
              <w:jc w:val="left"/>
            </w:pPr>
            <w:r>
              <w:t>(29 días, 96,7%)</w:t>
            </w:r>
          </w:p>
        </w:tc>
        <w:tc>
          <w:tcPr>
            <w:tcW w:type="dxa" w:w="1440"/>
            <w:noWrap/>
          </w:tcPr>
          <w:p>
            <w:pPr>
              <w:jc w:val="left"/>
            </w:pPr>
            <w:r>
              <w:t>519,1 m³</w:t>
            </w:r>
          </w:p>
          <w:p>
            <w:pPr>
              <w:jc w:val="left"/>
            </w:pPr>
            <w:r>
              <w:t>(66,2%)</w:t>
            </w:r>
          </w:p>
        </w:tc>
      </w:tr>
      <w:tr>
        <w:tc>
          <w:tcPr>
            <w:tcW w:type="dxa" w:w="1440"/>
            <w:noWrap/>
          </w:tcPr>
          <w:p>
            <w:r>
              <w:t>3</w:t>
            </w:r>
          </w:p>
        </w:tc>
        <w:tc>
          <w:tcPr>
            <w:tcW w:type="dxa" w:w="1440"/>
            <w:noWrap/>
          </w:tcPr>
          <w:p>
            <w:r>
              <w:t>Copec Riego</w:t>
            </w:r>
          </w:p>
        </w:tc>
        <w:tc>
          <w:tcPr>
            <w:tcW w:type="dxa" w:w="1440"/>
            <w:noWrap/>
          </w:tcPr>
          <w:p>
            <w:r>
              <w:t>411,8</w:t>
            </w:r>
          </w:p>
        </w:tc>
        <w:tc>
          <w:tcPr>
            <w:tcW w:type="dxa" w:w="1440"/>
            <w:noWrap/>
          </w:tcPr>
          <w:p>
            <w:r>
              <w:t>22</w:t>
            </w:r>
          </w:p>
        </w:tc>
        <w:tc>
          <w:tcPr>
            <w:tcW w:type="dxa" w:w="1440"/>
            <w:noWrap/>
          </w:tcPr>
          <w:p>
            <w:pPr>
              <w:jc w:val="left"/>
            </w:pPr>
            <w:r>
              <w:t>200,4 m³</w:t>
            </w:r>
          </w:p>
          <w:p>
            <w:pPr>
              <w:jc w:val="left"/>
            </w:pPr>
            <w:r>
              <w:t>(29 días, 96,7%)</w:t>
            </w:r>
          </w:p>
        </w:tc>
        <w:tc>
          <w:tcPr>
            <w:tcW w:type="dxa" w:w="1440"/>
            <w:noWrap/>
          </w:tcPr>
          <w:p>
            <w:pPr>
              <w:jc w:val="left"/>
            </w:pPr>
            <w:r>
              <w:t>687,1 m³</w:t>
            </w:r>
          </w:p>
          <w:p>
            <w:pPr>
              <w:jc w:val="left"/>
            </w:pPr>
            <w:r>
              <w:t>(166,9%)</w:t>
            </w:r>
          </w:p>
        </w:tc>
      </w:tr>
      <w:tr>
        <w:tc>
          <w:tcPr>
            <w:tcW w:type="dxa" w:w="1440"/>
            <w:noWrap/>
          </w:tcPr>
          <w:p>
            <w:r>
              <w:t>4</w:t>
            </w:r>
          </w:p>
        </w:tc>
        <w:tc>
          <w:tcPr>
            <w:tcW w:type="dxa" w:w="1440"/>
            <w:noWrap/>
          </w:tcPr>
          <w:p>
            <w:r>
              <w:t>Lavado Automático Sur</w:t>
            </w:r>
          </w:p>
        </w:tc>
        <w:tc>
          <w:tcPr>
            <w:tcW w:type="dxa" w:w="1440"/>
            <w:noWrap/>
          </w:tcPr>
          <w:p>
            <w:r>
              <w:t>241,9</w:t>
            </w:r>
          </w:p>
        </w:tc>
        <w:tc>
          <w:tcPr>
            <w:tcW w:type="dxa" w:w="1440"/>
            <w:noWrap/>
          </w:tcPr>
          <w:p>
            <w:r>
              <w:t>7</w:t>
            </w:r>
          </w:p>
        </w:tc>
        <w:tc>
          <w:tcPr>
            <w:tcW w:type="dxa" w:w="1440"/>
            <w:noWrap/>
          </w:tcPr>
          <w:p>
            <w:pPr>
              <w:jc w:val="left"/>
            </w:pPr>
            <w:r>
              <w:t>32,4 m³</w:t>
            </w:r>
          </w:p>
          <w:p>
            <w:pPr>
              <w:jc w:val="left"/>
            </w:pPr>
            <w:r>
              <w:t>(27 días, 90%)</w:t>
            </w:r>
          </w:p>
        </w:tc>
        <w:tc>
          <w:tcPr>
            <w:tcW w:type="dxa" w:w="1440"/>
            <w:noWrap/>
          </w:tcPr>
          <w:p>
            <w:pPr>
              <w:jc w:val="left"/>
            </w:pPr>
            <w:r>
              <w:t>111 m³</w:t>
            </w:r>
          </w:p>
          <w:p>
            <w:pPr>
              <w:jc w:val="left"/>
            </w:pPr>
            <w:r>
              <w:t>(45,9%)</w:t>
            </w:r>
          </w:p>
        </w:tc>
      </w:tr>
      <w:tr>
        <w:tc>
          <w:tcPr>
            <w:tcW w:type="dxa" w:w="1440"/>
            <w:noWrap/>
          </w:tcPr>
          <w:p>
            <w:r>
              <w:t>5</w:t>
            </w:r>
          </w:p>
        </w:tc>
        <w:tc>
          <w:tcPr>
            <w:tcW w:type="dxa" w:w="1440"/>
            <w:noWrap/>
          </w:tcPr>
          <w:p>
            <w:r>
              <w:t>Copec Lavado Auto servicio Sur</w:t>
            </w:r>
          </w:p>
        </w:tc>
        <w:tc>
          <w:tcPr>
            <w:tcW w:type="dxa" w:w="1440"/>
            <w:noWrap/>
          </w:tcPr>
          <w:p>
            <w:r>
              <w:t>68,7</w:t>
            </w:r>
          </w:p>
        </w:tc>
        <w:tc>
          <w:tcPr>
            <w:tcW w:type="dxa" w:w="1440"/>
            <w:noWrap/>
          </w:tcPr>
          <w:p>
            <w:r>
              <w:t>5</w:t>
            </w:r>
          </w:p>
        </w:tc>
        <w:tc>
          <w:tcPr>
            <w:tcW w:type="dxa" w:w="1440"/>
            <w:noWrap/>
          </w:tcPr>
          <w:p>
            <w:pPr>
              <w:jc w:val="left"/>
            </w:pPr>
            <w:r>
              <w:t>7,7 m³</w:t>
            </w:r>
          </w:p>
          <w:p>
            <w:pPr>
              <w:jc w:val="left"/>
            </w:pPr>
            <w:r>
              <w:t>(30 días, 100%)</w:t>
            </w:r>
          </w:p>
        </w:tc>
        <w:tc>
          <w:tcPr>
            <w:tcW w:type="dxa" w:w="1440"/>
            <w:noWrap/>
          </w:tcPr>
          <w:p>
            <w:pPr>
              <w:jc w:val="left"/>
            </w:pPr>
            <w:r>
              <w:t>26,5 m³</w:t>
            </w:r>
          </w:p>
          <w:p>
            <w:pPr>
              <w:jc w:val="left"/>
            </w:pPr>
            <w:r>
              <w:t>(38,6%)</w:t>
            </w:r>
          </w:p>
        </w:tc>
      </w:tr>
      <w:tr>
        <w:tc>
          <w:tcPr>
            <w:tcW w:type="dxa" w:w="1440"/>
            <w:noWrap/>
          </w:tcPr>
          <w:p>
            <w:r>
              <w:t>6</w:t>
            </w:r>
          </w:p>
        </w:tc>
        <w:tc>
          <w:tcPr>
            <w:tcW w:type="dxa" w:w="1440"/>
            <w:noWrap/>
          </w:tcPr>
          <w:p>
            <w:r>
              <w:t>Copec Lavado Auto servicio Norte</w:t>
            </w:r>
          </w:p>
        </w:tc>
        <w:tc>
          <w:tcPr>
            <w:tcW w:type="dxa" w:w="1440"/>
            <w:noWrap/>
          </w:tcPr>
          <w:p>
            <w:r>
              <w:t>66,9</w:t>
            </w:r>
          </w:p>
        </w:tc>
        <w:tc>
          <w:tcPr>
            <w:tcW w:type="dxa" w:w="1440"/>
            <w:noWrap/>
          </w:tcPr>
          <w:p>
            <w:r>
              <w:t>0</w:t>
            </w:r>
          </w:p>
        </w:tc>
        <w:tc>
          <w:tcPr>
            <w:tcW w:type="dxa" w:w="1440"/>
            <w:noWrap/>
          </w:tcPr>
          <w:p>
            <w:pPr>
              <w:jc w:val="left"/>
            </w:pPr>
            <w:r>
              <w:t>3,5 m³</w:t>
            </w:r>
          </w:p>
          <w:p>
            <w:pPr>
              <w:jc w:val="left"/>
            </w:pPr>
            <w:r>
              <w:t>(21 días, 100%)</w:t>
            </w:r>
          </w:p>
        </w:tc>
        <w:tc>
          <w:tcPr>
            <w:tcW w:type="dxa" w:w="1440"/>
            <w:noWrap/>
          </w:tcPr>
          <w:p>
            <w:pPr>
              <w:jc w:val="left"/>
            </w:pPr>
            <w:r>
              <w:t>12,1 m³</w:t>
            </w:r>
          </w:p>
          <w:p>
            <w:pPr>
              <w:jc w:val="left"/>
            </w:pPr>
            <w:r>
              <w:t>(18,1%)</w:t>
            </w:r>
          </w:p>
        </w:tc>
      </w:tr>
      <w:tr>
        <w:tc>
          <w:tcPr>
            <w:tcW w:type="dxa" w:w="1440"/>
            <w:noWrap/>
          </w:tcPr>
          <w:p>
            <w:r>
              <w:t>7</w:t>
            </w:r>
          </w:p>
        </w:tc>
        <w:tc>
          <w:tcPr>
            <w:tcW w:type="dxa" w:w="1440"/>
            <w:noWrap/>
          </w:tcPr>
          <w:p>
            <w:r>
              <w:t>Copec Pronto Baños</w:t>
            </w:r>
          </w:p>
        </w:tc>
        <w:tc>
          <w:tcPr>
            <w:tcW w:type="dxa" w:w="1440"/>
            <w:noWrap/>
          </w:tcPr>
          <w:p>
            <w:r>
              <w:t>64</w:t>
            </w:r>
          </w:p>
        </w:tc>
        <w:tc>
          <w:tcPr>
            <w:tcW w:type="dxa" w:w="1440"/>
            <w:noWrap/>
          </w:tcPr>
          <w:p>
            <w:r>
              <w:t>25</w:t>
            </w:r>
          </w:p>
        </w:tc>
        <w:tc>
          <w:tcPr>
            <w:tcW w:type="dxa" w:w="1440"/>
            <w:noWrap/>
          </w:tcPr>
          <w:p>
            <w:pPr>
              <w:jc w:val="left"/>
            </w:pPr>
            <w:r>
              <w:t>0 m³</w:t>
            </w:r>
          </w:p>
          <w:p>
            <w:pPr>
              <w:jc w:val="left"/>
            </w:pPr>
            <w:r>
              <w:t>(0 días, 0%)</w:t>
            </w:r>
          </w:p>
        </w:tc>
        <w:tc>
          <w:tcPr>
            <w:tcW w:type="dxa" w:w="1440"/>
            <w:noWrap/>
          </w:tcPr>
          <w:p>
            <w:pPr>
              <w:jc w:val="left"/>
            </w:pPr>
            <w:r>
              <w:t>0,0 m³</w:t>
            </w:r>
          </w:p>
          <w:p>
            <w:pPr>
              <w:jc w:val="left"/>
            </w:pPr>
            <w:r>
              <w:t>(0,0%)</w:t>
            </w:r>
          </w:p>
        </w:tc>
      </w:tr>
      <w:tr>
        <w:tc>
          <w:tcPr>
            <w:tcW w:type="dxa" w:w="1440"/>
            <w:noWrap/>
          </w:tcPr>
          <w:p>
            <w:r>
              <w:t>8</w:t>
            </w:r>
          </w:p>
        </w:tc>
        <w:tc>
          <w:tcPr>
            <w:tcW w:type="dxa" w:w="1440"/>
            <w:noWrap/>
          </w:tcPr>
          <w:p>
            <w:r>
              <w:t>Copec Pronto Tienda</w:t>
            </w:r>
          </w:p>
        </w:tc>
        <w:tc>
          <w:tcPr>
            <w:tcW w:type="dxa" w:w="1440"/>
            <w:noWrap/>
          </w:tcPr>
          <w:p>
            <w:r>
              <w:t>58,9</w:t>
            </w:r>
          </w:p>
        </w:tc>
        <w:tc>
          <w:tcPr>
            <w:tcW w:type="dxa" w:w="1440"/>
            <w:noWrap/>
          </w:tcPr>
          <w:p>
            <w:r>
              <w:t>12</w:t>
            </w:r>
          </w:p>
        </w:tc>
        <w:tc>
          <w:tcPr>
            <w:tcW w:type="dxa" w:w="1440"/>
            <w:noWrap/>
          </w:tcPr>
          <w:p>
            <w:pPr>
              <w:jc w:val="left"/>
            </w:pPr>
            <w:r>
              <w:t>0 m³</w:t>
            </w:r>
          </w:p>
          <w:p>
            <w:pPr>
              <w:jc w:val="left"/>
            </w:pPr>
            <w:r>
              <w:t>(0 días, 0%)</w:t>
            </w:r>
          </w:p>
        </w:tc>
        <w:tc>
          <w:tcPr>
            <w:tcW w:type="dxa" w:w="1440"/>
            <w:noWrap/>
          </w:tcPr>
          <w:p>
            <w:pPr>
              <w:jc w:val="left"/>
            </w:pPr>
            <w:r>
              <w:t>0,0 m³</w:t>
            </w:r>
          </w:p>
          <w:p>
            <w:pPr>
              <w:jc w:val="left"/>
            </w:pPr>
            <w:r>
              <w:t>(0,0%)</w:t>
            </w:r>
          </w:p>
        </w:tc>
      </w:tr>
      <w:tr>
        <w:tc>
          <w:tcPr>
            <w:tcW w:type="dxa" w:w="1440"/>
            <w:noWrap/>
          </w:tcPr>
          <w:p>
            <w:r>
              <w:t>9</w:t>
            </w:r>
          </w:p>
        </w:tc>
        <w:tc>
          <w:tcPr>
            <w:tcW w:type="dxa" w:w="1440"/>
            <w:noWrap/>
          </w:tcPr>
          <w:p>
            <w:r>
              <w:t>Oficina Admin.</w:t>
            </w:r>
          </w:p>
        </w:tc>
        <w:tc>
          <w:tcPr>
            <w:tcW w:type="dxa" w:w="1440"/>
            <w:noWrap/>
          </w:tcPr>
          <w:p>
            <w:r>
              <w:t>8,1</w:t>
            </w:r>
          </w:p>
        </w:tc>
        <w:tc>
          <w:tcPr>
            <w:tcW w:type="dxa" w:w="1440"/>
            <w:noWrap/>
          </w:tcPr>
          <w:p>
            <w:r>
              <w:t>0</w:t>
            </w:r>
          </w:p>
        </w:tc>
        <w:tc>
          <w:tcPr>
            <w:tcW w:type="dxa" w:w="1440"/>
            <w:noWrap/>
          </w:tcPr>
          <w:p>
            <w:pPr>
              <w:jc w:val="left"/>
            </w:pPr>
            <w:r>
              <w:t>0 m³</w:t>
            </w:r>
          </w:p>
          <w:p>
            <w:pPr>
              <w:jc w:val="left"/>
            </w:pPr>
            <w:r>
              <w:t>(0 días, 0%)</w:t>
            </w:r>
          </w:p>
        </w:tc>
        <w:tc>
          <w:tcPr>
            <w:tcW w:type="dxa" w:w="1440"/>
            <w:noWrap/>
          </w:tcPr>
          <w:p>
            <w:pPr>
              <w:jc w:val="left"/>
            </w:pPr>
            <w:r>
              <w:t>0,0 m³</w:t>
            </w:r>
          </w:p>
          <w:p>
            <w:pPr>
              <w:jc w:val="left"/>
            </w:pPr>
            <w:r>
              <w:t>(0,0%)</w:t>
            </w:r>
          </w:p>
        </w:tc>
      </w:tr>
      <w:tr>
        <w:tc>
          <w:tcPr>
            <w:tcW w:type="dxa" w:w="1440"/>
            <w:noWrap/>
          </w:tcPr>
          <w:p>
            <w:r>
              <w:t>10</w:t>
            </w:r>
          </w:p>
        </w:tc>
        <w:tc>
          <w:tcPr>
            <w:tcW w:type="dxa" w:w="1440"/>
            <w:noWrap/>
          </w:tcPr>
          <w:p>
            <w:r>
              <w:t>Copec Costanera</w:t>
            </w:r>
          </w:p>
        </w:tc>
        <w:tc>
          <w:tcPr>
            <w:tcW w:type="dxa" w:w="1440"/>
            <w:noWrap/>
          </w:tcPr>
          <w:p>
            <w:r>
              <w:t>0</w:t>
            </w:r>
          </w:p>
        </w:tc>
        <w:tc>
          <w:tcPr>
            <w:tcW w:type="dxa" w:w="1440"/>
            <w:noWrap/>
          </w:tcPr>
          <w:p>
            <w:r>
              <w:t>0</w:t>
            </w:r>
          </w:p>
        </w:tc>
        <w:tc>
          <w:tcPr>
            <w:tcW w:type="dxa" w:w="1440"/>
            <w:noWrap/>
          </w:tcPr>
          <w:p>
            <w:pPr>
              <w:jc w:val="left"/>
            </w:pPr>
            <w:r>
              <w:t>0 m³</w:t>
            </w:r>
          </w:p>
          <w:p>
            <w:pPr>
              <w:jc w:val="left"/>
            </w:pPr>
            <w:r>
              <w:t>(0 días, 0%)</w:t>
            </w:r>
          </w:p>
        </w:tc>
        <w:tc>
          <w:tcPr>
            <w:tcW w:type="dxa" w:w="1440"/>
            <w:noWrap/>
          </w:tcPr>
          <w:p>
            <w:pPr>
              <w:jc w:val="left"/>
            </w:pPr>
            <w:r>
              <w:t>0,0 m³</w:t>
            </w:r>
          </w:p>
          <w:p>
            <w:pPr>
              <w:jc w:val="left"/>
            </w:pPr>
            <w:r>
              <w:t>(0,0%)</w:t>
            </w:r>
          </w:p>
        </w:tc>
      </w:tr>
      <w:tr>
        <w:tc>
          <w:tcPr>
            <w:tcW w:type="dxa" w:w="1440"/>
            <w:noWrap/>
          </w:tcPr>
          <w:p>
            <w:r>
              <w:t>11</w:t>
            </w:r>
          </w:p>
        </w:tc>
        <w:tc>
          <w:tcPr>
            <w:tcW w:type="dxa" w:w="1440"/>
            <w:noWrap/>
          </w:tcPr>
          <w:p>
            <w:r>
              <w:t>Estanque Reutilización</w:t>
            </w:r>
          </w:p>
        </w:tc>
        <w:tc>
          <w:tcPr>
            <w:tcW w:type="dxa" w:w="1440"/>
            <w:noWrap/>
          </w:tcPr>
          <w:p>
            <w:r>
              <w:t>0</w:t>
            </w:r>
          </w:p>
        </w:tc>
        <w:tc>
          <w:tcPr>
            <w:tcW w:type="dxa" w:w="1440"/>
            <w:noWrap/>
          </w:tcPr>
          <w:p>
            <w:r>
              <w:t>0</w:t>
            </w:r>
          </w:p>
        </w:tc>
        <w:tc>
          <w:tcPr>
            <w:tcW w:type="dxa" w:w="1440"/>
            <w:noWrap/>
          </w:tcPr>
          <w:p>
            <w:pPr>
              <w:jc w:val="left"/>
            </w:pPr>
            <w:r>
              <w:t>0 m³</w:t>
            </w:r>
          </w:p>
          <w:p>
            <w:pPr>
              <w:jc w:val="left"/>
            </w:pPr>
            <w:r>
              <w:t>(0 días, 0%)</w:t>
            </w:r>
          </w:p>
        </w:tc>
        <w:tc>
          <w:tcPr>
            <w:tcW w:type="dxa" w:w="1440"/>
            <w:noWrap/>
          </w:tcPr>
          <w:p>
            <w:pPr>
              <w:jc w:val="left"/>
            </w:pPr>
            <w:r>
              <w:t>0,0 m³</w:t>
            </w:r>
          </w:p>
          <w:p>
            <w:pPr>
              <w:jc w:val="left"/>
            </w:pPr>
            <w:r>
              <w:t>(0,0%)</w:t>
            </w:r>
          </w:p>
        </w:tc>
      </w:tr>
      <w:tr>
        <w:tc>
          <w:tcPr>
            <w:tcW w:type="dxa" w:w="1440"/>
            <w:noWrap/>
            <w:shd w:val="clear" w:fill="FFE6E6"/>
          </w:tcPr>
          <w:p>
            <w:pPr>
              <w:jc w:val="left"/>
            </w:pPr>
            <w:r>
              <w:rPr>
                <w:b/>
                <w:color w:val="FF0000"/>
              </w:rPr>
            </w:r>
          </w:p>
        </w:tc>
        <w:tc>
          <w:tcPr>
            <w:tcW w:type="dxa" w:w="1440"/>
            <w:noWrap/>
            <w:shd w:val="clear" w:fill="FFE6E6"/>
          </w:tcPr>
          <w:p>
            <w:pPr>
              <w:jc w:val="left"/>
            </w:pPr>
            <w:r>
              <w:rPr>
                <w:b/>
                <w:color w:val="FF0000"/>
              </w:rPr>
              <w:t>TOTAL</w:t>
            </w:r>
          </w:p>
        </w:tc>
        <w:tc>
          <w:tcPr>
            <w:tcW w:type="dxa" w:w="1440"/>
            <w:noWrap/>
            <w:shd w:val="clear" w:fill="FFE6E6"/>
          </w:tcPr>
          <w:p>
            <w:pPr>
              <w:jc w:val="left"/>
            </w:pPr>
            <w:r>
              <w:rPr>
                <w:b/>
                <w:color w:val="FF0000"/>
              </w:rPr>
              <w:t>5.452,4</w:t>
            </w:r>
          </w:p>
        </w:tc>
        <w:tc>
          <w:tcPr>
            <w:tcW w:type="dxa" w:w="1440"/>
            <w:noWrap/>
            <w:shd w:val="clear" w:fill="FFE6E6"/>
          </w:tcPr>
          <w:p>
            <w:pPr>
              <w:jc w:val="left"/>
            </w:pPr>
            <w:r>
              <w:rPr>
                <w:b/>
                <w:color w:val="FF0000"/>
              </w:rPr>
              <w:t>88</w:t>
            </w:r>
          </w:p>
        </w:tc>
        <w:tc>
          <w:tcPr>
            <w:tcW w:type="dxa" w:w="1440"/>
            <w:noWrap/>
            <w:shd w:val="clear" w:fill="FFE6E6"/>
          </w:tcPr>
          <w:p>
            <w:pPr>
              <w:jc w:val="left"/>
            </w:pPr>
            <w:r>
              <w:rPr>
                <w:b/>
                <w:color w:val="FF0000"/>
              </w:rPr>
              <w:t>1.446,4 m³</w:t>
            </w:r>
          </w:p>
        </w:tc>
        <w:tc>
          <w:tcPr>
            <w:tcW w:type="dxa" w:w="1440"/>
            <w:noWrap/>
            <w:shd w:val="clear" w:fill="FFE6E6"/>
          </w:tcPr>
          <w:p>
            <w:pPr>
              <w:jc w:val="left"/>
            </w:pPr>
            <w:r>
              <w:rPr>
                <w:b/>
                <w:color w:val="FF0000"/>
              </w:rPr>
              <w:t>4.959,2 m³</w:t>
            </w:r>
          </w:p>
        </w:tc>
      </w:tr>
    </w:tbl>
    <w:p/>
    <w:p>
      <w:pPr>
        <w:keepNext/>
        <w:widowControl/>
        <w:spacing w:after="60"/>
        <w:jc w:val="center"/>
      </w:pPr>
      <w:r>
        <w:drawing>
          <wp:inline xmlns:a="http://schemas.openxmlformats.org/drawingml/2006/main" xmlns:pic="http://schemas.openxmlformats.org/drawingml/2006/picture">
            <wp:extent cx="5486400" cy="3429000"/>
            <wp:docPr id="2" name="Picture 2"/>
            <wp:cNvGraphicFramePr>
              <a:graphicFrameLocks noChangeAspect="1"/>
            </wp:cNvGraphicFramePr>
            <a:graphic>
              <a:graphicData uri="http://schemas.openxmlformats.org/drawingml/2006/picture">
                <pic:pic>
                  <pic:nvPicPr>
                    <pic:cNvPr id="0" name="chart_consumo_nocturno_nodos.png"/>
                    <pic:cNvPicPr/>
                  </pic:nvPicPr>
                  <pic:blipFill>
                    <a:blip r:embed="rId11"/>
                    <a:stretch>
                      <a:fillRect/>
                    </a:stretch>
                  </pic:blipFill>
                  <pic:spPr>
                    <a:xfrm>
                      <a:off x="0" y="0"/>
                      <a:ext cx="5486400" cy="3429000"/>
                    </a:xfrm>
                    <a:prstGeom prst="rect"/>
                  </pic:spPr>
                </pic:pic>
              </a:graphicData>
            </a:graphic>
          </wp:inline>
        </w:drawing>
      </w:r>
    </w:p>
    <w:p/>
    <w:p>
      <w:pPr>
        <w:keepNext/>
        <w:widowControl/>
        <w:spacing w:after="60"/>
      </w:pPr>
      <w:r>
        <w:rPr>
          <w:b/>
          <w:color w:val="003366"/>
        </w:rPr>
        <w:t>DÍA CON MAYOR CONSUMO NOCTURNO - LAVADO AUTOMÁTICO NORTE (27-06-26):</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max_nocturnal_000009_03.png"/>
                    <pic:cNvPicPr/>
                  </pic:nvPicPr>
                  <pic:blipFill>
                    <a:blip r:embed="rId12"/>
                    <a:stretch>
                      <a:fillRect/>
                    </a:stretch>
                  </pic:blipFill>
                  <pic:spPr>
                    <a:xfrm>
                      <a:off x="0" y="0"/>
                      <a:ext cx="5486400" cy="2702533"/>
                    </a:xfrm>
                    <a:prstGeom prst="rect"/>
                  </pic:spPr>
                </pic:pic>
              </a:graphicData>
            </a:graphic>
          </wp:inline>
        </w:drawing>
      </w:r>
    </w:p>
    <w:p>
      <w:pPr>
        <w:jc w:val="both"/>
      </w:pPr>
      <w:r>
        <w:rPr>
          <w:color w:val="000000"/>
        </w:rPr>
        <w:t>El nodo Lavado Automático Norte registró 9 alerta(s) durante 7 día(s) del periodo analizado. La periodicidad de las alertas es intermitente (más del 20% de los días). Se identificó una proyección de filtración de 519,1 m³ ($659.269), lo que indica un patrón de fuga constante durante el periodo.</w:t>
      </w:r>
    </w:p>
    <w:p/>
    <w:p>
      <w:pPr>
        <w:keepNext/>
        <w:widowControl/>
        <w:spacing w:after="60"/>
      </w:pPr>
      <w:r>
        <w:rPr>
          <w:b/>
          <w:color w:val="003366"/>
        </w:rPr>
        <w:t>DÍA CON MAYOR CONSUMO NOCTURNO - LAVADO AUTOMÁTICO SUR (23-06-26):</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max_nocturnal_000009_04.png"/>
                    <pic:cNvPicPr/>
                  </pic:nvPicPr>
                  <pic:blipFill>
                    <a:blip r:embed="rId13"/>
                    <a:stretch>
                      <a:fillRect/>
                    </a:stretch>
                  </pic:blipFill>
                  <pic:spPr>
                    <a:xfrm>
                      <a:off x="0" y="0"/>
                      <a:ext cx="5486400" cy="2702533"/>
                    </a:xfrm>
                    <a:prstGeom prst="rect"/>
                  </pic:spPr>
                </pic:pic>
              </a:graphicData>
            </a:graphic>
          </wp:inline>
        </w:drawing>
      </w:r>
    </w:p>
    <w:p>
      <w:pPr>
        <w:jc w:val="both"/>
      </w:pPr>
      <w:r>
        <w:rPr>
          <w:color w:val="000000"/>
        </w:rPr>
        <w:t>El nodo Lavado Automático Sur registró 7 alerta(s) durante 6 día(s) del periodo analizado. La periodicidad de las alertas es intermitente (más del 20% de los días). Se identificó una proyección de filtración de 111 m³ ($140.948), lo que indica un patrón de fuga constante durante el periodo.</w:t>
      </w:r>
    </w:p>
    <w:p/>
    <w:p>
      <w:pPr>
        <w:keepNext/>
        <w:widowControl/>
        <w:spacing w:after="60"/>
      </w:pPr>
      <w:r>
        <w:rPr>
          <w:b/>
          <w:color w:val="003366"/>
        </w:rPr>
        <w:t>DÍA CON MAYOR CONSUMO NOCTURNO - COPEC RIEGO (29-06-26):</w:t>
      </w:r>
    </w:p>
    <w:p>
      <w:pPr>
        <w:keepNext/>
        <w:widowControl/>
        <w:spacing w:after="60"/>
        <w:jc w:val="center"/>
      </w:pPr>
      <w:r>
        <w:drawing>
          <wp:inline xmlns:a="http://schemas.openxmlformats.org/drawingml/2006/main" xmlns:pic="http://schemas.openxmlformats.org/drawingml/2006/picture">
            <wp:extent cx="5486400" cy="2702533"/>
            <wp:docPr id="5" name="Picture 5"/>
            <wp:cNvGraphicFramePr>
              <a:graphicFrameLocks noChangeAspect="1"/>
            </wp:cNvGraphicFramePr>
            <a:graphic>
              <a:graphicData uri="http://schemas.openxmlformats.org/drawingml/2006/picture">
                <pic:pic>
                  <pic:nvPicPr>
                    <pic:cNvPr id="0" name="chart_max_nocturnal_000009_05.png"/>
                    <pic:cNvPicPr/>
                  </pic:nvPicPr>
                  <pic:blipFill>
                    <a:blip r:embed="rId14"/>
                    <a:stretch>
                      <a:fillRect/>
                    </a:stretch>
                  </pic:blipFill>
                  <pic:spPr>
                    <a:xfrm>
                      <a:off x="0" y="0"/>
                      <a:ext cx="5486400" cy="2702533"/>
                    </a:xfrm>
                    <a:prstGeom prst="rect"/>
                  </pic:spPr>
                </pic:pic>
              </a:graphicData>
            </a:graphic>
          </wp:inline>
        </w:drawing>
      </w:r>
    </w:p>
    <w:p>
      <w:pPr>
        <w:jc w:val="both"/>
      </w:pPr>
      <w:r>
        <w:rPr>
          <w:color w:val="000000"/>
        </w:rPr>
        <w:t>El nodo Copec Riego registró 22 alerta(s) durante 20 día(s) del periodo analizado. La periodicidad de las alertas es regular (más del 50% de los días). Se identificó una proyección de filtración de 687,1 m³ ($872.642), lo que indica un patrón de fuga constante durante el periodo.</w:t>
      </w:r>
    </w:p>
    <w:p/>
    <w:p>
      <w:pPr>
        <w:keepNext/>
        <w:widowControl/>
        <w:spacing w:after="60"/>
      </w:pPr>
      <w:r>
        <w:rPr>
          <w:b/>
          <w:color w:val="003366"/>
        </w:rPr>
        <w:t>DÍA CON MAYOR CONSUMO NOCTURNO - COPEC MATRIZ PRINCIPAL (29-06-26):</w:t>
      </w:r>
    </w:p>
    <w:p>
      <w:pPr>
        <w:keepNext/>
        <w:widowControl/>
        <w:spacing w:after="60"/>
        <w:jc w:val="center"/>
      </w:pPr>
      <w:r>
        <w:drawing>
          <wp:inline xmlns:a="http://schemas.openxmlformats.org/drawingml/2006/main" xmlns:pic="http://schemas.openxmlformats.org/drawingml/2006/picture">
            <wp:extent cx="5486400" cy="2702533"/>
            <wp:docPr id="6" name="Picture 6"/>
            <wp:cNvGraphicFramePr>
              <a:graphicFrameLocks noChangeAspect="1"/>
            </wp:cNvGraphicFramePr>
            <a:graphic>
              <a:graphicData uri="http://schemas.openxmlformats.org/drawingml/2006/picture">
                <pic:pic>
                  <pic:nvPicPr>
                    <pic:cNvPr id="0" name="chart_max_nocturnal_000009_06.png"/>
                    <pic:cNvPicPr/>
                  </pic:nvPicPr>
                  <pic:blipFill>
                    <a:blip r:embed="rId15"/>
                    <a:stretch>
                      <a:fillRect/>
                    </a:stretch>
                  </pic:blipFill>
                  <pic:spPr>
                    <a:xfrm>
                      <a:off x="0" y="0"/>
                      <a:ext cx="5486400" cy="2702533"/>
                    </a:xfrm>
                    <a:prstGeom prst="rect"/>
                  </pic:spPr>
                </pic:pic>
              </a:graphicData>
            </a:graphic>
          </wp:inline>
        </w:drawing>
      </w:r>
    </w:p>
    <w:p>
      <w:pPr>
        <w:jc w:val="both"/>
      </w:pPr>
      <w:r>
        <w:rPr>
          <w:color w:val="000000"/>
        </w:rPr>
        <w:t>El nodo Copec Matriz Principal registró 8 alerta(s) durante 7 día(s) del periodo analizado. La periodicidad de las alertas es intermitente (más del 20% de los días). Se identificó una proyección de filtración de 3.603,3 m³ ($4.576.178), lo que indica un patrón de fuga constante durante el periodo.</w:t>
      </w:r>
    </w:p>
    <w:p/>
    <w:p>
      <w:pPr>
        <w:keepNext/>
        <w:widowControl/>
        <w:spacing w:after="60"/>
      </w:pPr>
      <w:r>
        <w:rPr>
          <w:b/>
          <w:color w:val="003366"/>
        </w:rPr>
        <w:t>DÍA CON MAYOR CONSUMO NOCTURNO - COPEC PRONTO BAÑOS (15-06-26):</w:t>
      </w:r>
    </w:p>
    <w:p>
      <w:pPr>
        <w:keepNext/>
        <w:widowControl/>
        <w:spacing w:after="60"/>
        <w:jc w:val="center"/>
      </w:pPr>
      <w:r>
        <w:drawing>
          <wp:inline xmlns:a="http://schemas.openxmlformats.org/drawingml/2006/main" xmlns:pic="http://schemas.openxmlformats.org/drawingml/2006/picture">
            <wp:extent cx="5486400" cy="2702533"/>
            <wp:docPr id="7" name="Picture 7"/>
            <wp:cNvGraphicFramePr>
              <a:graphicFrameLocks noChangeAspect="1"/>
            </wp:cNvGraphicFramePr>
            <a:graphic>
              <a:graphicData uri="http://schemas.openxmlformats.org/drawingml/2006/picture">
                <pic:pic>
                  <pic:nvPicPr>
                    <pic:cNvPr id="0" name="chart_max_nocturnal_000009_08.png"/>
                    <pic:cNvPicPr/>
                  </pic:nvPicPr>
                  <pic:blipFill>
                    <a:blip r:embed="rId16"/>
                    <a:stretch>
                      <a:fillRect/>
                    </a:stretch>
                  </pic:blipFill>
                  <pic:spPr>
                    <a:xfrm>
                      <a:off x="0" y="0"/>
                      <a:ext cx="5486400" cy="2702533"/>
                    </a:xfrm>
                    <a:prstGeom prst="rect"/>
                  </pic:spPr>
                </pic:pic>
              </a:graphicData>
            </a:graphic>
          </wp:inline>
        </w:drawing>
      </w:r>
    </w:p>
    <w:p>
      <w:pPr>
        <w:jc w:val="both"/>
      </w:pPr>
      <w:r>
        <w:rPr>
          <w:color w:val="000000"/>
        </w:rPr>
        <w:t>El nodo Copec Pronto Baños registró 25 alerta(s) durante 17 día(s) del periodo analizado. La periodicidad de las alertas es regular (más del 50% de los días). Se identificó una proyección de filtración de 41,4 m³ ($52.581), lo que indica un patrón de fuga constante durante el periodo.</w:t>
      </w:r>
    </w:p>
    <w:p/>
    <w:p>
      <w:pPr>
        <w:keepNext/>
        <w:widowControl/>
        <w:spacing w:after="60"/>
      </w:pPr>
      <w:r>
        <w:rPr>
          <w:b/>
          <w:color w:val="003366"/>
        </w:rPr>
        <w:t>DÍA CON MAYOR CONSUMO NOCTURNO - COPEC LAVADO AUTO SERVICIO SUR (15-06-26):</w:t>
      </w:r>
    </w:p>
    <w:p>
      <w:pPr>
        <w:keepNext/>
        <w:widowControl/>
        <w:spacing w:after="60"/>
        <w:jc w:val="center"/>
      </w:pPr>
      <w:r>
        <w:drawing>
          <wp:inline xmlns:a="http://schemas.openxmlformats.org/drawingml/2006/main" xmlns:pic="http://schemas.openxmlformats.org/drawingml/2006/picture">
            <wp:extent cx="5486400" cy="2702533"/>
            <wp:docPr id="8" name="Picture 8"/>
            <wp:cNvGraphicFramePr>
              <a:graphicFrameLocks noChangeAspect="1"/>
            </wp:cNvGraphicFramePr>
            <a:graphic>
              <a:graphicData uri="http://schemas.openxmlformats.org/drawingml/2006/picture">
                <pic:pic>
                  <pic:nvPicPr>
                    <pic:cNvPr id="0" name="chart_max_nocturnal_000009_10.png"/>
                    <pic:cNvPicPr/>
                  </pic:nvPicPr>
                  <pic:blipFill>
                    <a:blip r:embed="rId17"/>
                    <a:stretch>
                      <a:fillRect/>
                    </a:stretch>
                  </pic:blipFill>
                  <pic:spPr>
                    <a:xfrm>
                      <a:off x="0" y="0"/>
                      <a:ext cx="5486400" cy="2702533"/>
                    </a:xfrm>
                    <a:prstGeom prst="rect"/>
                  </pic:spPr>
                </pic:pic>
              </a:graphicData>
            </a:graphic>
          </wp:inline>
        </w:drawing>
      </w:r>
    </w:p>
    <w:p>
      <w:pPr>
        <w:jc w:val="both"/>
      </w:pPr>
      <w:r>
        <w:rPr>
          <w:color w:val="000000"/>
        </w:rPr>
        <w:t>El nodo Copec Lavado Auto servicio Sur registró 5 alerta(s) durante 4 día(s) del periodo analizado. La periodicidad de las alertas es puntual (menos del 20% de los días). Se identificó una proyección de filtración de 26,5 m³ ($33.702), lo que indica un patrón de fuga constante durante el periodo.</w:t>
      </w:r>
    </w:p>
    <w:p/>
    <w:p>
      <w:pPr>
        <w:keepNext/>
        <w:widowControl/>
        <w:spacing w:after="60"/>
      </w:pPr>
      <w:r>
        <w:rPr>
          <w:b/>
          <w:color w:val="003366"/>
        </w:rPr>
        <w:t>DÍA CON MAYOR CONSUMO NOCTURNO - COPEC PRONTO TIENDA (30-06-26):</w:t>
      </w:r>
    </w:p>
    <w:p>
      <w:pPr>
        <w:keepNext/>
        <w:widowControl/>
        <w:spacing w:after="60"/>
        <w:jc w:val="center"/>
      </w:pPr>
      <w:r>
        <w:drawing>
          <wp:inline xmlns:a="http://schemas.openxmlformats.org/drawingml/2006/main" xmlns:pic="http://schemas.openxmlformats.org/drawingml/2006/picture">
            <wp:extent cx="5486400" cy="2702533"/>
            <wp:docPr id="9" name="Picture 9"/>
            <wp:cNvGraphicFramePr>
              <a:graphicFrameLocks noChangeAspect="1"/>
            </wp:cNvGraphicFramePr>
            <a:graphic>
              <a:graphicData uri="http://schemas.openxmlformats.org/drawingml/2006/picture">
                <pic:pic>
                  <pic:nvPicPr>
                    <pic:cNvPr id="0" name="chart_max_nocturnal_000009_11.png"/>
                    <pic:cNvPicPr/>
                  </pic:nvPicPr>
                  <pic:blipFill>
                    <a:blip r:embed="rId18"/>
                    <a:stretch>
                      <a:fillRect/>
                    </a:stretch>
                  </pic:blipFill>
                  <pic:spPr>
                    <a:xfrm>
                      <a:off x="0" y="0"/>
                      <a:ext cx="5486400" cy="2702533"/>
                    </a:xfrm>
                    <a:prstGeom prst="rect"/>
                  </pic:spPr>
                </pic:pic>
              </a:graphicData>
            </a:graphic>
          </wp:inline>
        </w:drawing>
      </w:r>
    </w:p>
    <w:p>
      <w:pPr>
        <w:jc w:val="both"/>
      </w:pPr>
      <w:r>
        <w:rPr>
          <w:color w:val="000000"/>
        </w:rPr>
        <w:t>El nodo Copec Pronto Tienda registró 12 alerta(s) durante 11 día(s) del periodo analizado. La periodicidad de las alertas es intermitente (más del 20% de los días). Se identificó una proyección de filtración de 52 m³ ($66.035), lo que indica un patrón de fuga constante durante el periodo.</w:t>
      </w:r>
    </w:p>
    <w:p/>
    <w:p>
      <w:pPr>
        <w:keepNext/>
        <w:widowControl/>
        <w:spacing w:after="60"/>
      </w:pPr>
      <w:r>
        <w:rPr>
          <w:b/>
          <w:color w:val="003366"/>
        </w:rPr>
        <w:t>PERFILES HORARIOS Y PROYECCIÓN (SERIE API — ESTILO APP WES)</w:t>
      </w:r>
    </w:p>
    <w:p>
      <w:pPr>
        <w:jc w:val="both"/>
      </w:pPr>
      <w:r>
        <w:t>Los siguientes gráficos replican el perfil horario de la app WES (sin captura de pantalla). La proyección mensual usa consumo en madrugada (00:00–06:59) extrapolado a 24 h × 30 días, útil para estimar ahorro con equipo de control cuando no hay alertas MyAlert recientes.</w:t>
      </w:r>
    </w:p>
    <w:p/>
    <w:p>
      <w:pPr>
        <w:keepNext/>
        <w:widowControl/>
        <w:spacing w:after="60"/>
      </w:pPr>
      <w:r>
        <w:rPr>
          <w:b/>
          <w:color w:val="003366"/>
        </w:rPr>
        <w:t>COPEC COSTANERA (000009-00)</w:t>
      </w:r>
    </w:p>
    <w:p>
      <w:r>
        <w:rPr>
          <w:b/>
        </w:rPr>
        <w:t xml:space="preserve">Consumo nocturno en el periodo: </w:t>
      </w:r>
      <w:r>
        <w:t xml:space="preserve">0 m³. </w:t>
      </w:r>
      <w:r>
        <w:rPr>
          <w:b/>
        </w:rPr>
        <w:t xml:space="preserve">Proyección a 30 días (24 h/día): </w:t>
      </w:r>
      <w:r>
        <w:t>0,1 m³ ($87 referencial).</w:t>
      </w:r>
    </w:p>
    <w:p>
      <w:r>
        <w:t>Nota: el patrón nocturno no supera el umbral del 75 % de días con consumo en madrugada; la proyección se muestra como estimación técnica a partir de la serie horaria.</w:t>
      </w:r>
    </w:p>
    <w:p>
      <w:pPr>
        <w:keepNext/>
        <w:widowControl/>
        <w:spacing w:after="60"/>
        <w:jc w:val="center"/>
      </w:pPr>
      <w:r>
        <w:drawing>
          <wp:inline xmlns:a="http://schemas.openxmlformats.org/drawingml/2006/main" xmlns:pic="http://schemas.openxmlformats.org/drawingml/2006/picture">
            <wp:extent cx="5486400" cy="2445387"/>
            <wp:docPr id="10" name="Picture 10"/>
            <wp:cNvGraphicFramePr>
              <a:graphicFrameLocks noChangeAspect="1"/>
            </wp:cNvGraphicFramePr>
            <a:graphic>
              <a:graphicData uri="http://schemas.openxmlformats.org/drawingml/2006/picture">
                <pic:pic>
                  <pic:nvPicPr>
                    <pic:cNvPr id="0" name="app_horario_000009_00.png"/>
                    <pic:cNvPicPr/>
                  </pic:nvPicPr>
                  <pic:blipFill>
                    <a:blip r:embed="rId19"/>
                    <a:stretch>
                      <a:fillRect/>
                    </a:stretch>
                  </pic:blipFill>
                  <pic:spPr>
                    <a:xfrm>
                      <a:off x="0" y="0"/>
                      <a:ext cx="5486400" cy="2445387"/>
                    </a:xfrm>
                    <a:prstGeom prst="rect"/>
                  </pic:spPr>
                </pic:pic>
              </a:graphicData>
            </a:graphic>
          </wp:inline>
        </w:drawing>
      </w:r>
    </w:p>
    <w:p/>
    <w:p>
      <w:pPr>
        <w:keepNext/>
        <w:widowControl/>
        <w:spacing w:after="60"/>
      </w:pPr>
      <w:r>
        <w:rPr>
          <w:b/>
          <w:color w:val="003366"/>
        </w:rPr>
        <w:t>OFICINA ADMIN. (000009-01)</w:t>
      </w:r>
    </w:p>
    <w:p>
      <w:r>
        <w:rPr>
          <w:b/>
        </w:rPr>
        <w:t xml:space="preserve">Consumo nocturno en el periodo: </w:t>
      </w:r>
      <w:r>
        <w:t xml:space="preserve">1,3 m³. </w:t>
      </w:r>
      <w:r>
        <w:rPr>
          <w:b/>
        </w:rPr>
        <w:t xml:space="preserve">Proyección a 30 días (24 h/día): </w:t>
      </w:r>
      <w:r>
        <w:t>4,4 m³ ($5.616 referencial).</w:t>
      </w:r>
    </w:p>
    <w:p>
      <w:pPr>
        <w:keepNext/>
        <w:widowControl/>
        <w:spacing w:after="60"/>
        <w:jc w:val="center"/>
      </w:pPr>
      <w:r>
        <w:drawing>
          <wp:inline xmlns:a="http://schemas.openxmlformats.org/drawingml/2006/main" xmlns:pic="http://schemas.openxmlformats.org/drawingml/2006/picture">
            <wp:extent cx="5486400" cy="2445387"/>
            <wp:docPr id="11" name="Picture 11"/>
            <wp:cNvGraphicFramePr>
              <a:graphicFrameLocks noChangeAspect="1"/>
            </wp:cNvGraphicFramePr>
            <a:graphic>
              <a:graphicData uri="http://schemas.openxmlformats.org/drawingml/2006/picture">
                <pic:pic>
                  <pic:nvPicPr>
                    <pic:cNvPr id="0" name="app_horario_000009_01.png"/>
                    <pic:cNvPicPr/>
                  </pic:nvPicPr>
                  <pic:blipFill>
                    <a:blip r:embed="rId20"/>
                    <a:stretch>
                      <a:fillRect/>
                    </a:stretch>
                  </pic:blipFill>
                  <pic:spPr>
                    <a:xfrm>
                      <a:off x="0" y="0"/>
                      <a:ext cx="5486400" cy="2445387"/>
                    </a:xfrm>
                    <a:prstGeom prst="rect"/>
                  </pic:spPr>
                </pic:pic>
              </a:graphicData>
            </a:graphic>
          </wp:inline>
        </w:drawing>
      </w:r>
    </w:p>
    <w:p/>
    <w:p>
      <w:pPr>
        <w:keepNext/>
        <w:widowControl/>
        <w:spacing w:after="60"/>
      </w:pPr>
      <w:r>
        <w:rPr>
          <w:b/>
          <w:color w:val="003366"/>
        </w:rPr>
        <w:t>COPEC LAVADO AUTO SERVICIO NORTE (000009-09)</w:t>
      </w:r>
    </w:p>
    <w:p>
      <w:r>
        <w:rPr>
          <w:b/>
        </w:rPr>
        <w:t xml:space="preserve">Consumo nocturno en el periodo: </w:t>
      </w:r>
      <w:r>
        <w:t xml:space="preserve">5,6 m³. </w:t>
      </w:r>
      <w:r>
        <w:rPr>
          <w:b/>
        </w:rPr>
        <w:t xml:space="preserve">Proyección a 30 días (24 h/día): </w:t>
      </w:r>
      <w:r>
        <w:t>19,3 m³ ($24.495 referencial).</w:t>
      </w:r>
    </w:p>
    <w:p>
      <w:pPr>
        <w:keepNext/>
        <w:widowControl/>
        <w:spacing w:after="60"/>
        <w:jc w:val="center"/>
      </w:pPr>
      <w:r>
        <w:drawing>
          <wp:inline xmlns:a="http://schemas.openxmlformats.org/drawingml/2006/main" xmlns:pic="http://schemas.openxmlformats.org/drawingml/2006/picture">
            <wp:extent cx="5486400" cy="2445387"/>
            <wp:docPr id="12" name="Picture 12"/>
            <wp:cNvGraphicFramePr>
              <a:graphicFrameLocks noChangeAspect="1"/>
            </wp:cNvGraphicFramePr>
            <a:graphic>
              <a:graphicData uri="http://schemas.openxmlformats.org/drawingml/2006/picture">
                <pic:pic>
                  <pic:nvPicPr>
                    <pic:cNvPr id="0" name="app_horario_000009_09.png"/>
                    <pic:cNvPicPr/>
                  </pic:nvPicPr>
                  <pic:blipFill>
                    <a:blip r:embed="rId21"/>
                    <a:stretch>
                      <a:fillRect/>
                    </a:stretch>
                  </pic:blipFill>
                  <pic:spPr>
                    <a:xfrm>
                      <a:off x="0" y="0"/>
                      <a:ext cx="5486400" cy="2445387"/>
                    </a:xfrm>
                    <a:prstGeom prst="rect"/>
                  </pic:spPr>
                </pic:pic>
              </a:graphicData>
            </a:graphic>
          </wp:inline>
        </w:drawing>
      </w:r>
    </w:p>
    <w:p/>
    <w:p>
      <w:pPr>
        <w:keepNext/>
        <w:widowControl/>
        <w:spacing w:after="60"/>
      </w:pPr>
      <w:r>
        <w:rPr>
          <w:b/>
          <w:color w:val="003366"/>
        </w:rPr>
        <w:t>COMPARACIÓN MENSUAL: CONSUMO NOCTURNO VS CONSUMO EFECTIVO:</w:t>
      </w:r>
    </w:p>
    <w:p>
      <w:pPr>
        <w:jc w:val="both"/>
      </w:pPr>
      <w:r>
        <w:rPr>
          <w:color w:val="000000"/>
        </w:rPr>
        <w:t>La comparación mensual proyecta los valores diarios a un mes completo (30 días). La proyección mensual de consumo nocturno se obtiene multiplicando la proyección diaria de consumo nocturno agregada por 30 días, mientras que el consumo efectivo mensual se calcula multiplicando el consumo efectivo promedio diario agregado por 30 días. Esta comparación permite visualizar el impacto económico de los consumos nocturnos en un periodo mensual, valorizando el consumo nocturno en pesos chilenos según el precio por metro cúbico del punto.</w:t>
      </w:r>
    </w:p>
    <w:p/>
    <w:p>
      <w:pPr>
        <w:keepNext/>
        <w:widowControl/>
        <w:spacing w:after="60"/>
        <w:jc w:val="center"/>
      </w:pPr>
      <w:r>
        <w:drawing>
          <wp:inline xmlns:a="http://schemas.openxmlformats.org/drawingml/2006/main" xmlns:pic="http://schemas.openxmlformats.org/drawingml/2006/picture">
            <wp:extent cx="3657600" cy="2228619"/>
            <wp:docPr id="13" name="Picture 13"/>
            <wp:cNvGraphicFramePr>
              <a:graphicFrameLocks noChangeAspect="1"/>
            </wp:cNvGraphicFramePr>
            <a:graphic>
              <a:graphicData uri="http://schemas.openxmlformats.org/drawingml/2006/picture">
                <pic:pic>
                  <pic:nvPicPr>
                    <pic:cNvPr id="0" name="chart_comparacion_mensual_agregada.png"/>
                    <pic:cNvPicPr/>
                  </pic:nvPicPr>
                  <pic:blipFill>
                    <a:blip r:embed="rId22"/>
                    <a:stretch>
                      <a:fillRect/>
                    </a:stretch>
                  </pic:blipFill>
                  <pic:spPr>
                    <a:xfrm>
                      <a:off x="0" y="0"/>
                      <a:ext cx="3657600" cy="2228619"/>
                    </a:xfrm>
                    <a:prstGeom prst="rect"/>
                  </pic:spPr>
                </pic:pic>
              </a:graphicData>
            </a:graphic>
          </wp:inline>
        </w:drawing>
      </w:r>
    </w:p>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fugas detectados durante el periodo analizado. Se recomienda revisar los días con mayor consumo y atender las alertas registradas. </w:t>
      </w:r>
    </w:p>
    <w:p>
      <w:pPr>
        <w:jc w:val="both"/>
      </w:pPr>
      <w:r>
        <w:rPr>
          <w:color w:val="000000"/>
        </w:rPr>
        <w:t xml:space="preserve">El análisis de filtración detectó proyecciones de fuga en los siguientes puntos de monitoreo: Copec Matriz Principal, Lavado Automático Norte, Copec Riego, Lavado Automático Sur, Copec Lavado Auto servicio Sur y Copec Lavado Auto servicio Norte. Estos puntos presentan consumos nocturnos significativos que sugieren la presencia de fugas constantes durante el periodo analizado. </w:t>
      </w:r>
    </w:p>
    <w:p>
      <w:pPr>
        <w:jc w:val="both"/>
      </w:pPr>
      <w:r>
        <w:rPr>
          <w:color w:val="000000"/>
        </w:rPr>
        <w:t>Se recomienda realizar una inspección exhaustiva en el terreno de los puntos mencionados para identificar posibles fugas. Específicamente, se sugiere revisar el correcto funcionamiento de todos los artefactos conectados a la red de agua monitoreada por WES en estos puntos, verificando que no presenten fallas, desgaste o mal funcionamiento que puedan generar pérdidas de agua. Asimismo, se recomienda buscar indicadores de humedad en superficies del terreno, tales como áreas húmedas, charcos persistentes, crecimiento anormal de vegetación, o cualquier otra señal que pueda indicar la presencia de una filtración subterránea. Estas acciones permitirán confirmar y localizar la fuente de la posible filtración identificada en el análisis.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