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COPEC Copec Costanera - ¿?</w:t>
      </w:r>
    </w:p>
    <w:p>
      <w:pPr>
        <w:jc w:val="center"/>
      </w:pPr>
      <w:r>
        <w:t>MONITOREO WES</w:t>
        <w:br/>
        <w:t>Copec Costanera - ¿?</w:t>
        <w:br/>
        <w:t>Rango: 01-04-26 - 30-04-26</w:t>
        <w:br/>
        <w:t>Generado: 05-05-26 19:55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 m³.</w:t>
        <w:br/>
      </w:r>
      <w:r>
        <w:t>Promedio diario: 0 m³.</w:t>
        <w:br/>
      </w:r>
      <w:r>
        <w:t>Número de días del periodo del reporte: 30.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Gráfica de consumo de agua.</w:t>
      </w:r>
    </w:p>
    <w:p>
      <w:pPr>
        <w:spacing w:after="60"/>
      </w:pPr>
    </w:p>
    <w:p>
      <w:pPr>
        <w:jc w:val="both"/>
      </w:pPr>
      <w:r>
        <w:rPr>
          <w:color w:val="000000"/>
        </w:rPr>
        <w:t>No hay suficientes datos para analizar variaciones de consumo.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300"/>
        <w:gridCol w:w="9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78"/>
        <w:gridCol w:w="1282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30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