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Análisis COPEC Oficina Admin.</w:t>
      </w:r>
    </w:p>
    <w:p>
      <w:pPr>
        <w:jc w:val="center"/>
      </w:pPr>
      <w:r>
        <w:t>MONITOREO WES</w:t>
        <w:br/>
        <w:t>Oficina Admin.</w:t>
        <w:br/>
        <w:t>Rango: 01-04-26 - 30-04-26</w:t>
        <w:br/>
        <w:t>Generado: 05-05-26 19:44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</w:t>
      </w:r>
    </w:p>
    <w:p>
      <w:r>
        <w:t>Consumo total: 0,2 m³.</w:t>
        <w:br/>
      </w:r>
      <w:r>
        <w:t>Promedio diario: 0,2 m³.</w:t>
        <w:br/>
      </w:r>
      <w:r>
        <w:t>Número de días del periodo del reporte: 30.</w:t>
        <w:br/>
      </w:r>
      <w:r>
        <w:t>Día pico: 30-04-26 (0,2 m³).</w:t>
        <w:br/>
      </w:r>
      <w:r>
        <w:t>Número de alertas de consumo nocturno: 0.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CONSUMO</w:t>
      </w:r>
    </w:p>
    <w:p>
      <w:pPr>
        <w:jc w:val="both"/>
      </w:pPr>
      <w:r>
        <w:rPr>
          <w:color w:val="000000"/>
        </w:rPr>
        <w:t>En la gráfica se representan 1 días. En el periodo falta día lunes, martes, miércoles, viernes, sábado, domingo.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nsumo_000009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mayor consumo se registró el jueves 30-04-26 con 0,2 m³. Este día corresponde a un día laboral, lo que típicamente se asocia con alta actividad hídrica. El análisis horario detallado de este día permite identificar los períodos de mayor demanda y los patrones de consumo específicos.</w:t>
      </w:r>
    </w:p>
    <w:p>
      <w:pPr>
        <w:keepNext/>
        <w:spacing w:after="60"/>
      </w:pPr>
    </w:p>
    <w:p>
      <w:pPr>
        <w:keepNext/>
        <w:widowControl/>
        <w:spacing w:after="60"/>
      </w:pPr>
      <w:r>
        <w:rPr>
          <w:b/>
          <w:color w:val="003366"/>
        </w:rPr>
        <w:t>ANÁLISIS DETALLADO POR HORA DE LOS DÍAS EXTREMOS:</w:t>
      </w:r>
    </w:p>
    <w:p>
      <w:pPr>
        <w:keepNext/>
        <w:widowControl/>
        <w:spacing w:after="60"/>
      </w:pPr>
      <w:r>
        <w:rPr>
          <w:b/>
          <w:color w:val="003366"/>
        </w:rPr>
        <w:t>DÍA CON MENOR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in_000009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jc w:val="both"/>
      </w:pPr>
      <w:r>
        <w:rPr>
          <w:color w:val="000000"/>
        </w:rPr>
        <w:t>No hay suficientes datos para analizar variaciones de consumo.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979"/>
        <w:gridCol w:w="3221"/>
      </w:tblGrid>
      <w:tr>
        <w:tc>
          <w:tcPr>
            <w:tcW w:type="dxa" w:w="4320"/>
            <w:shd w:val="clear" w:fill="D9E1F2"/>
            <w:noWrap/>
          </w:tcPr>
          <w:p>
            <w:r>
              <w:t>Total (m³)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0,2</w:t>
            </w:r>
          </w:p>
        </w:tc>
      </w:tr>
      <w:tr>
        <w:tc>
          <w:tcPr>
            <w:tcW w:type="dxa" w:w="4320"/>
            <w:noWrap/>
          </w:tcPr>
          <w:p>
            <w:r>
              <w:t>Promedio diario (m³)</w:t>
            </w:r>
          </w:p>
        </w:tc>
        <w:tc>
          <w:tcPr>
            <w:tcW w:type="dxa" w:w="4320"/>
            <w:noWrap/>
          </w:tcPr>
          <w:p>
            <w:r>
              <w:t>0,2</w:t>
            </w:r>
          </w:p>
        </w:tc>
      </w:tr>
      <w:tr>
        <w:tc>
          <w:tcPr>
            <w:tcW w:type="dxa" w:w="4320"/>
            <w:noWrap/>
          </w:tcPr>
          <w:p>
            <w:r>
              <w:t>Promedio mensual (m³)</w:t>
            </w:r>
          </w:p>
        </w:tc>
        <w:tc>
          <w:tcPr>
            <w:tcW w:type="dxa" w:w="4320"/>
            <w:noWrap/>
          </w:tcPr>
          <w:p>
            <w:r>
              <w:t>6,9</w:t>
            </w:r>
          </w:p>
        </w:tc>
      </w:tr>
      <w:tr>
        <w:tc>
          <w:tcPr>
            <w:tcW w:type="dxa" w:w="4320"/>
            <w:noWrap/>
          </w:tcPr>
          <w:p>
            <w:r>
              <w:t>Máximo diario</w:t>
            </w:r>
          </w:p>
        </w:tc>
        <w:tc>
          <w:tcPr>
            <w:tcW w:type="dxa" w:w="4320"/>
            <w:noWrap/>
          </w:tcPr>
          <w:p>
            <w:r>
              <w:t>0,2 m³ (30-04-26)</w:t>
            </w:r>
          </w:p>
        </w:tc>
      </w:tr>
      <w:tr>
        <w:tc>
          <w:tcPr>
            <w:tcW w:type="dxa" w:w="4320"/>
            <w:noWrap/>
          </w:tcPr>
          <w:p>
            <w:r>
              <w:t>Mínimo diario</w:t>
            </w:r>
          </w:p>
        </w:tc>
        <w:tc>
          <w:tcPr>
            <w:tcW w:type="dxa" w:w="4320"/>
            <w:noWrap/>
          </w:tcPr>
          <w:p>
            <w:r>
              <w:t>0,2 m³ (30-04-26)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MÉTRICAS DE CONSUMO NOCTURNO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061"/>
        <w:gridCol w:w="1299"/>
      </w:tblGrid>
      <w:tr>
        <w:tc>
          <w:tcPr>
            <w:tcW w:type="dxa" w:w="4320"/>
            <w:shd w:val="clear" w:fill="D9E1F2"/>
            <w:noWrap/>
          </w:tcPr>
          <w:p>
            <w:r>
              <w:t>Número de días con consumo nocturno (00:00–06:59, hora Chile)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0</w:t>
            </w:r>
          </w:p>
        </w:tc>
      </w:tr>
      <w:tr>
        <w:tc>
          <w:tcPr>
            <w:tcW w:type="dxa" w:w="4320"/>
            <w:noWrap/>
          </w:tcPr>
          <w:p>
            <w:r>
              <w:t>Número de días sin consumo nocturno (con serie horaria ese día)</w:t>
            </w:r>
          </w:p>
        </w:tc>
        <w:tc>
          <w:tcPr>
            <w:tcW w:type="dxa" w:w="4320"/>
            <w:noWrap/>
          </w:tcPr>
          <w:p>
            <w:r>
              <w:t>1</w:t>
            </w:r>
          </w:p>
        </w:tc>
      </w:tr>
      <w:tr>
        <w:tc>
          <w:tcPr>
            <w:tcW w:type="dxa" w:w="4320"/>
            <w:noWrap/>
          </w:tcPr>
          <w:p>
            <w:r>
              <w:t>Días sin datos horarios (sin serie ese día)</w:t>
            </w:r>
          </w:p>
        </w:tc>
        <w:tc>
          <w:tcPr>
            <w:tcW w:type="dxa" w:w="4320"/>
            <w:noWrap/>
          </w:tcPr>
          <w:p>
            <w:r>
              <w:t>29</w:t>
            </w:r>
          </w:p>
        </w:tc>
      </w:tr>
      <w:tr>
        <w:tc>
          <w:tcPr>
            <w:tcW w:type="dxa" w:w="4320"/>
            <w:noWrap/>
          </w:tcPr>
          <w:p>
            <w:r>
              <w:t>Consumo nocturno (m³)</w:t>
            </w:r>
          </w:p>
        </w:tc>
        <w:tc>
          <w:tcPr>
            <w:tcW w:type="dxa" w:w="4320"/>
            <w:noWrap/>
          </w:tcPr>
          <w:p>
            <w:r>
              <w:t>0</w:t>
            </w:r>
          </w:p>
        </w:tc>
      </w:tr>
      <w:tr>
        <w:tc>
          <w:tcPr>
            <w:tcW w:type="dxa" w:w="4320"/>
            <w:noWrap/>
          </w:tcPr>
          <w:p>
            <w:r>
              <w:t>Consumo diurno efectivo (m³)</w:t>
            </w:r>
          </w:p>
        </w:tc>
        <w:tc>
          <w:tcPr>
            <w:tcW w:type="dxa" w:w="4320"/>
            <w:noWrap/>
          </w:tcPr>
          <w:p>
            <w:r>
              <w:t>0,2</w:t>
            </w:r>
          </w:p>
        </w:tc>
      </w:tr>
    </w:tbl>
    <w:p/>
    <w:p>
      <w:pPr>
        <w:jc w:val="both"/>
      </w:pPr>
      <w:r>
        <w:rPr>
          <w:color w:val="000000"/>
        </w:rPr>
        <w:t>Nota: En este punto el consumo nocturno aparece en 0 debido al control operativo de la máquina WES (CPA). Por este motivo se omite la gráfica de torta (no aporta valor adicional en la interpretación).</w:t>
      </w:r>
    </w:p>
    <w:p>
      <w:r>
        <w:t>No se gatillaron alertas en el periodo analizado.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CONCLUSIONES</w:t>
      </w:r>
    </w:p>
    <w:p>
      <w:pPr>
        <w:keepNext/>
        <w:widowControl/>
        <w:jc w:val="both"/>
      </w:pPr>
      <w:r>
        <w:rPr>
          <w:color w:val="000000"/>
        </w:rPr>
        <w:t>Este reporte sintetiza los principales hallazgos de consumo y fugas. Se recomienda revisar los días con mayor consumo y atender las alertas registradas.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