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01-02-26 - 28-02-26</w:t>
        <w:br/>
        <w:t>Generado: 03-03-26 17:06</w:t>
      </w:r>
    </w:p>
    <w:p>
      <w:pPr>
        <w:pStyle w:val="Heading1"/>
        <w:keepNext/>
        <w:widowControl/>
        <w:spacing w:after="60"/>
      </w:pPr>
      <w:r>
        <w:rPr>
          <w:b/>
          <w:color w:val="003366"/>
        </w:rPr>
        <w:t>RESUMEN EJECUTIVO AGREGADO</w:t>
      </w:r>
    </w:p>
    <w:p>
      <w:r>
        <w:t>Puntos de monitoreo analizados: 14.</w:t>
        <w:br/>
      </w:r>
      <w:r>
        <w:t>Consumo total agregado: 3.442,9 m³.</w:t>
        <w:br/>
      </w:r>
      <w:r>
        <w:t>Consumo promedio por punto: 245,9 m³.</w:t>
        <w:br/>
      </w:r>
      <w:r>
        <w:t>Total de alertas registradas: 157.</w:t>
        <w:br/>
      </w:r>
      <w:r>
        <w:t>Promedio de alerta agregado: 1,6 m³/h.</w:t>
        <w:br/>
      </w:r>
      <w:r>
        <w:t>Proyección diaria de consumo nocturno agregada: 37,7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5248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52483"/>
                    </a:xfrm>
                    <a:prstGeom prst="rect"/>
                  </pic:spPr>
                </pic:pic>
              </a:graphicData>
            </a:graphic>
          </wp:inline>
        </w:drawing>
      </w:r>
    </w:p>
    <w:p/>
    <w:p>
      <w:pPr>
        <w:jc w:val="both"/>
      </w:pPr>
      <w:r>
        <w:rPr>
          <w:color w:val="000000"/>
        </w:rPr>
        <w:t>El análisis comparativo revela que el punto con mayor consumo es Unión Nacional Árabe, con un total de 892,7 m³ durante el periodo analizado. Este valor representa un 263% por encima del promedio (245,9 m³ por punto), indicando una demanda significativamente superior a la media. Por otro lado, el punto con menor consumo es Eduardo de la Barra, con un total de 9,9 m³. Este valor representa un 96% por debajo del promedio, mostrando una demanda significativamente inferior. La diferencia entre el punto de mayor y menor consumo es considerable, siendo el consumo máximo aproximadamente 90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Unión Nacional Árabe</w:t>
            </w:r>
          </w:p>
        </w:tc>
        <w:tc>
          <w:tcPr>
            <w:tcW w:type="dxa" w:w="1440"/>
            <w:noWrap/>
          </w:tcPr>
          <w:p>
            <w:r>
              <w:t>892,7</w:t>
            </w:r>
          </w:p>
        </w:tc>
        <w:tc>
          <w:tcPr>
            <w:tcW w:type="dxa" w:w="1440"/>
            <w:noWrap/>
          </w:tcPr>
          <w:p>
            <w:r>
              <w:t>7</w:t>
            </w:r>
          </w:p>
        </w:tc>
        <w:tc>
          <w:tcPr>
            <w:tcW w:type="dxa" w:w="1440"/>
            <w:noWrap/>
          </w:tcPr>
          <w:p>
            <w:pPr>
              <w:jc w:val="left"/>
            </w:pPr>
            <w:r>
              <w:t>0,7 m³</w:t>
            </w:r>
          </w:p>
          <w:p>
            <w:pPr>
              <w:jc w:val="left"/>
            </w:pPr>
            <w:r>
              <w:t>(1 días, 3,6%)</w:t>
            </w:r>
          </w:p>
        </w:tc>
        <w:tc>
          <w:tcPr>
            <w:tcW w:type="dxa" w:w="1440"/>
            <w:noWrap/>
          </w:tcPr>
          <w:p>
            <w:pPr>
              <w:jc w:val="left"/>
            </w:pPr>
            <w:r>
              <w:t>0,0 m³</w:t>
            </w:r>
          </w:p>
          <w:p>
            <w:pPr>
              <w:jc w:val="left"/>
            </w:pPr>
            <w:r>
              <w:t>(0,0%)</w:t>
            </w:r>
          </w:p>
        </w:tc>
      </w:tr>
      <w:tr>
        <w:tc>
          <w:tcPr>
            <w:tcW w:type="dxa" w:w="1440"/>
            <w:noWrap/>
          </w:tcPr>
          <w:p>
            <w:r>
              <w:t>2</w:t>
            </w:r>
          </w:p>
        </w:tc>
        <w:tc>
          <w:tcPr>
            <w:tcW w:type="dxa" w:w="1440"/>
            <w:noWrap/>
          </w:tcPr>
          <w:p>
            <w:r>
              <w:t>Luis Arrieta Caña</w:t>
            </w:r>
          </w:p>
        </w:tc>
        <w:tc>
          <w:tcPr>
            <w:tcW w:type="dxa" w:w="1440"/>
            <w:noWrap/>
          </w:tcPr>
          <w:p>
            <w:r>
              <w:t>882,3</w:t>
            </w:r>
          </w:p>
        </w:tc>
        <w:tc>
          <w:tcPr>
            <w:tcW w:type="dxa" w:w="1440"/>
            <w:noWrap/>
          </w:tcPr>
          <w:p>
            <w:r>
              <w:t>0</w:t>
            </w:r>
          </w:p>
        </w:tc>
        <w:tc>
          <w:tcPr>
            <w:tcW w:type="dxa" w:w="1440"/>
            <w:noWrap/>
          </w:tcPr>
          <w:p>
            <w:pPr>
              <w:jc w:val="left"/>
            </w:pPr>
            <w:r>
              <w:t>55,4 m³</w:t>
            </w:r>
          </w:p>
          <w:p>
            <w:pPr>
              <w:jc w:val="left"/>
            </w:pPr>
            <w:r>
              <w:t>(20 días, 71,4%)</w:t>
            </w:r>
          </w:p>
        </w:tc>
        <w:tc>
          <w:tcPr>
            <w:tcW w:type="dxa" w:w="1440"/>
            <w:noWrap/>
          </w:tcPr>
          <w:p>
            <w:pPr>
              <w:jc w:val="left"/>
            </w:pPr>
            <w:r>
              <w:t>0,0 m³</w:t>
            </w:r>
          </w:p>
          <w:p>
            <w:pPr>
              <w:jc w:val="left"/>
            </w:pPr>
            <w:r>
              <w:t>(0,0%)</w:t>
            </w:r>
          </w:p>
        </w:tc>
      </w:tr>
      <w:tr>
        <w:tc>
          <w:tcPr>
            <w:tcW w:type="dxa" w:w="1440"/>
            <w:noWrap/>
          </w:tcPr>
          <w:p>
            <w:r>
              <w:t>3</w:t>
            </w:r>
          </w:p>
        </w:tc>
        <w:tc>
          <w:tcPr>
            <w:tcW w:type="dxa" w:w="1440"/>
            <w:noWrap/>
          </w:tcPr>
          <w:p>
            <w:r>
              <w:t>Lic. Antonio Hermida F</w:t>
            </w:r>
          </w:p>
        </w:tc>
        <w:tc>
          <w:tcPr>
            <w:tcW w:type="dxa" w:w="1440"/>
            <w:noWrap/>
          </w:tcPr>
          <w:p>
            <w:r>
              <w:t>444,3</w:t>
            </w:r>
          </w:p>
        </w:tc>
        <w:tc>
          <w:tcPr>
            <w:tcW w:type="dxa" w:w="1440"/>
            <w:noWrap/>
          </w:tcPr>
          <w:p>
            <w:r>
              <w:t>27</w:t>
            </w:r>
          </w:p>
        </w:tc>
        <w:tc>
          <w:tcPr>
            <w:tcW w:type="dxa" w:w="1440"/>
            <w:noWrap/>
          </w:tcPr>
          <w:p>
            <w:pPr>
              <w:jc w:val="left"/>
            </w:pPr>
            <w:r>
              <w:t>113,1 m³</w:t>
            </w:r>
          </w:p>
          <w:p>
            <w:pPr>
              <w:jc w:val="left"/>
            </w:pPr>
            <w:r>
              <w:t>(20 días, 71,4%)</w:t>
            </w:r>
          </w:p>
        </w:tc>
        <w:tc>
          <w:tcPr>
            <w:tcW w:type="dxa" w:w="1440"/>
            <w:noWrap/>
          </w:tcPr>
          <w:p>
            <w:pPr>
              <w:jc w:val="left"/>
            </w:pPr>
            <w:r>
              <w:t>0,0 m³</w:t>
            </w:r>
          </w:p>
          <w:p>
            <w:pPr>
              <w:jc w:val="left"/>
            </w:pPr>
            <w:r>
              <w:t>(0,0%)</w:t>
            </w:r>
          </w:p>
        </w:tc>
      </w:tr>
      <w:tr>
        <w:tc>
          <w:tcPr>
            <w:tcW w:type="dxa" w:w="1440"/>
            <w:noWrap/>
          </w:tcPr>
          <w:p>
            <w:r>
              <w:t>4</w:t>
            </w:r>
          </w:p>
        </w:tc>
        <w:tc>
          <w:tcPr>
            <w:tcW w:type="dxa" w:w="1440"/>
            <w:noWrap/>
          </w:tcPr>
          <w:p>
            <w:r>
              <w:t>Matilde Huici Navas</w:t>
            </w:r>
          </w:p>
        </w:tc>
        <w:tc>
          <w:tcPr>
            <w:tcW w:type="dxa" w:w="1440"/>
            <w:noWrap/>
          </w:tcPr>
          <w:p>
            <w:r>
              <w:t>330</w:t>
            </w:r>
          </w:p>
        </w:tc>
        <w:tc>
          <w:tcPr>
            <w:tcW w:type="dxa" w:w="1440"/>
            <w:noWrap/>
          </w:tcPr>
          <w:p>
            <w:r>
              <w:t>33</w:t>
            </w:r>
          </w:p>
        </w:tc>
        <w:tc>
          <w:tcPr>
            <w:tcW w:type="dxa" w:w="1440"/>
            <w:noWrap/>
          </w:tcPr>
          <w:p>
            <w:pPr>
              <w:jc w:val="left"/>
            </w:pPr>
            <w:r>
              <w:t>86,7 m³</w:t>
            </w:r>
          </w:p>
          <w:p>
            <w:pPr>
              <w:jc w:val="left"/>
            </w:pPr>
            <w:r>
              <w:t>(10 días, 35,7%)</w:t>
            </w:r>
          </w:p>
        </w:tc>
        <w:tc>
          <w:tcPr>
            <w:tcW w:type="dxa" w:w="1440"/>
            <w:noWrap/>
          </w:tcPr>
          <w:p>
            <w:pPr>
              <w:jc w:val="left"/>
            </w:pPr>
            <w:r>
              <w:t>0,0 m³</w:t>
            </w:r>
          </w:p>
          <w:p>
            <w:pPr>
              <w:jc w:val="left"/>
            </w:pPr>
            <w:r>
              <w:t>(0,0%)</w:t>
            </w:r>
          </w:p>
        </w:tc>
      </w:tr>
      <w:tr>
        <w:tc>
          <w:tcPr>
            <w:tcW w:type="dxa" w:w="1440"/>
            <w:noWrap/>
          </w:tcPr>
          <w:p>
            <w:r>
              <w:t>5</w:t>
            </w:r>
          </w:p>
        </w:tc>
        <w:tc>
          <w:tcPr>
            <w:tcW w:type="dxa" w:w="1440"/>
            <w:noWrap/>
          </w:tcPr>
          <w:p>
            <w:r>
              <w:t>Juan Bautista Pasten</w:t>
            </w:r>
          </w:p>
        </w:tc>
        <w:tc>
          <w:tcPr>
            <w:tcW w:type="dxa" w:w="1440"/>
            <w:noWrap/>
          </w:tcPr>
          <w:p>
            <w:r>
              <w:t>272,3</w:t>
            </w:r>
          </w:p>
        </w:tc>
        <w:tc>
          <w:tcPr>
            <w:tcW w:type="dxa" w:w="1440"/>
            <w:noWrap/>
          </w:tcPr>
          <w:p>
            <w:r>
              <w:t>7</w:t>
            </w:r>
          </w:p>
        </w:tc>
        <w:tc>
          <w:tcPr>
            <w:tcW w:type="dxa" w:w="1440"/>
            <w:noWrap/>
          </w:tcPr>
          <w:p>
            <w:pPr>
              <w:jc w:val="left"/>
            </w:pPr>
            <w:r>
              <w:t>8 m³</w:t>
            </w:r>
          </w:p>
          <w:p>
            <w:pPr>
              <w:jc w:val="left"/>
            </w:pPr>
            <w:r>
              <w:t>(6 días, 21,4%)</w:t>
            </w:r>
          </w:p>
        </w:tc>
        <w:tc>
          <w:tcPr>
            <w:tcW w:type="dxa" w:w="1440"/>
            <w:noWrap/>
          </w:tcPr>
          <w:p>
            <w:pPr>
              <w:jc w:val="left"/>
            </w:pPr>
            <w:r>
              <w:t>0,0 m³</w:t>
            </w:r>
          </w:p>
          <w:p>
            <w:pPr>
              <w:jc w:val="left"/>
            </w:pPr>
            <w:r>
              <w:t>(0,0%)</w:t>
            </w:r>
          </w:p>
        </w:tc>
      </w:tr>
      <w:tr>
        <w:tc>
          <w:tcPr>
            <w:tcW w:type="dxa" w:w="1440"/>
            <w:noWrap/>
          </w:tcPr>
          <w:p>
            <w:r>
              <w:t>6</w:t>
            </w:r>
          </w:p>
        </w:tc>
        <w:tc>
          <w:tcPr>
            <w:tcW w:type="dxa" w:w="1440"/>
            <w:noWrap/>
          </w:tcPr>
          <w:p>
            <w:r>
              <w:t>Tobalaba</w:t>
            </w:r>
          </w:p>
        </w:tc>
        <w:tc>
          <w:tcPr>
            <w:tcW w:type="dxa" w:w="1440"/>
            <w:noWrap/>
          </w:tcPr>
          <w:p>
            <w:r>
              <w:t>198,8</w:t>
            </w:r>
          </w:p>
        </w:tc>
        <w:tc>
          <w:tcPr>
            <w:tcW w:type="dxa" w:w="1440"/>
            <w:noWrap/>
          </w:tcPr>
          <w:p>
            <w:r>
              <w:t>0</w:t>
            </w:r>
          </w:p>
        </w:tc>
        <w:tc>
          <w:tcPr>
            <w:tcW w:type="dxa" w:w="1440"/>
            <w:noWrap/>
          </w:tcPr>
          <w:p>
            <w:pPr>
              <w:jc w:val="left"/>
            </w:pPr>
            <w:r>
              <w:t>36,6 m³</w:t>
            </w:r>
          </w:p>
          <w:p>
            <w:pPr>
              <w:jc w:val="left"/>
            </w:pPr>
            <w:r>
              <w:t>(1 días, 3,6%)</w:t>
            </w:r>
          </w:p>
        </w:tc>
        <w:tc>
          <w:tcPr>
            <w:tcW w:type="dxa" w:w="1440"/>
            <w:noWrap/>
          </w:tcPr>
          <w:p>
            <w:pPr>
              <w:jc w:val="left"/>
            </w:pPr>
            <w:r>
              <w:t>0,0 m³</w:t>
            </w:r>
          </w:p>
          <w:p>
            <w:pPr>
              <w:jc w:val="left"/>
            </w:pPr>
            <w:r>
              <w:t>(0,0%)</w:t>
            </w:r>
          </w:p>
        </w:tc>
      </w:tr>
      <w:tr>
        <w:tc>
          <w:tcPr>
            <w:tcW w:type="dxa" w:w="1440"/>
            <w:noWrap/>
          </w:tcPr>
          <w:p>
            <w:r>
              <w:t>7</w:t>
            </w:r>
          </w:p>
        </w:tc>
        <w:tc>
          <w:tcPr>
            <w:tcW w:type="dxa" w:w="1440"/>
            <w:noWrap/>
          </w:tcPr>
          <w:p>
            <w:r>
              <w:t>Juan Pablo II</w:t>
            </w:r>
          </w:p>
        </w:tc>
        <w:tc>
          <w:tcPr>
            <w:tcW w:type="dxa" w:w="1440"/>
            <w:noWrap/>
          </w:tcPr>
          <w:p>
            <w:r>
              <w:t>128,7</w:t>
            </w:r>
          </w:p>
        </w:tc>
        <w:tc>
          <w:tcPr>
            <w:tcW w:type="dxa" w:w="1440"/>
            <w:noWrap/>
          </w:tcPr>
          <w:p>
            <w:r>
              <w:t>11</w:t>
            </w:r>
          </w:p>
        </w:tc>
        <w:tc>
          <w:tcPr>
            <w:tcW w:type="dxa" w:w="1440"/>
            <w:noWrap/>
          </w:tcPr>
          <w:p>
            <w:pPr>
              <w:jc w:val="left"/>
            </w:pPr>
            <w:r>
              <w:t>9,7 m³</w:t>
            </w:r>
          </w:p>
          <w:p>
            <w:pPr>
              <w:jc w:val="left"/>
            </w:pPr>
            <w:r>
              <w:t>(5 días, 17,9%)</w:t>
            </w:r>
          </w:p>
        </w:tc>
        <w:tc>
          <w:tcPr>
            <w:tcW w:type="dxa" w:w="1440"/>
            <w:noWrap/>
          </w:tcPr>
          <w:p>
            <w:pPr>
              <w:jc w:val="left"/>
            </w:pPr>
            <w:r>
              <w:t>0,0 m³</w:t>
            </w:r>
          </w:p>
          <w:p>
            <w:pPr>
              <w:jc w:val="left"/>
            </w:pPr>
            <w:r>
              <w:t>(0,0%)</w:t>
            </w:r>
          </w:p>
        </w:tc>
      </w:tr>
      <w:tr>
        <w:tc>
          <w:tcPr>
            <w:tcW w:type="dxa" w:w="1440"/>
            <w:noWrap/>
          </w:tcPr>
          <w:p>
            <w:r>
              <w:t>8</w:t>
            </w:r>
          </w:p>
        </w:tc>
        <w:tc>
          <w:tcPr>
            <w:tcW w:type="dxa" w:w="1440"/>
            <w:noWrap/>
          </w:tcPr>
          <w:p>
            <w:r>
              <w:t>Carlos Fernandez P.</w:t>
            </w:r>
          </w:p>
        </w:tc>
        <w:tc>
          <w:tcPr>
            <w:tcW w:type="dxa" w:w="1440"/>
            <w:noWrap/>
          </w:tcPr>
          <w:p>
            <w:r>
              <w:t>79,6</w:t>
            </w:r>
          </w:p>
        </w:tc>
        <w:tc>
          <w:tcPr>
            <w:tcW w:type="dxa" w:w="1440"/>
            <w:noWrap/>
          </w:tcPr>
          <w:p>
            <w:r>
              <w:t>31</w:t>
            </w:r>
          </w:p>
        </w:tc>
        <w:tc>
          <w:tcPr>
            <w:tcW w:type="dxa" w:w="1440"/>
            <w:noWrap/>
          </w:tcPr>
          <w:p>
            <w:pPr>
              <w:jc w:val="left"/>
            </w:pPr>
            <w:r>
              <w:t>8 m³</w:t>
            </w:r>
          </w:p>
          <w:p>
            <w:pPr>
              <w:jc w:val="left"/>
            </w:pPr>
            <w:r>
              <w:t>(27 días, 96,4%)</w:t>
            </w:r>
          </w:p>
        </w:tc>
        <w:tc>
          <w:tcPr>
            <w:tcW w:type="dxa" w:w="1440"/>
            <w:noWrap/>
          </w:tcPr>
          <w:p>
            <w:pPr>
              <w:jc w:val="left"/>
            </w:pPr>
            <w:r>
              <w:t>31,8 m³</w:t>
            </w:r>
          </w:p>
          <w:p>
            <w:pPr>
              <w:jc w:val="left"/>
            </w:pPr>
            <w:r>
              <w:t>(40%)</w:t>
            </w:r>
          </w:p>
        </w:tc>
      </w:tr>
      <w:tr>
        <w:tc>
          <w:tcPr>
            <w:tcW w:type="dxa" w:w="1440"/>
            <w:noWrap/>
          </w:tcPr>
          <w:p>
            <w:r>
              <w:t>9</w:t>
            </w:r>
          </w:p>
        </w:tc>
        <w:tc>
          <w:tcPr>
            <w:tcW w:type="dxa" w:w="1440"/>
            <w:noWrap/>
          </w:tcPr>
          <w:p>
            <w:r>
              <w:t>Erasmo Escala</w:t>
            </w:r>
          </w:p>
        </w:tc>
        <w:tc>
          <w:tcPr>
            <w:tcW w:type="dxa" w:w="1440"/>
            <w:noWrap/>
          </w:tcPr>
          <w:p>
            <w:r>
              <w:t>65,5</w:t>
            </w:r>
          </w:p>
        </w:tc>
        <w:tc>
          <w:tcPr>
            <w:tcW w:type="dxa" w:w="1440"/>
            <w:noWrap/>
          </w:tcPr>
          <w:p>
            <w:r>
              <w:t>28</w:t>
            </w:r>
          </w:p>
        </w:tc>
        <w:tc>
          <w:tcPr>
            <w:tcW w:type="dxa" w:w="1440"/>
            <w:noWrap/>
          </w:tcPr>
          <w:p>
            <w:pPr>
              <w:jc w:val="left"/>
            </w:pPr>
            <w:r>
              <w:t>6,3 m³</w:t>
            </w:r>
          </w:p>
          <w:p>
            <w:pPr>
              <w:jc w:val="left"/>
            </w:pPr>
            <w:r>
              <w:t>(27 días, 96,4%)</w:t>
            </w:r>
          </w:p>
        </w:tc>
        <w:tc>
          <w:tcPr>
            <w:tcW w:type="dxa" w:w="1440"/>
            <w:noWrap/>
          </w:tcPr>
          <w:p>
            <w:pPr>
              <w:jc w:val="left"/>
            </w:pPr>
            <w:r>
              <w:t>25,2 m³</w:t>
            </w:r>
          </w:p>
          <w:p>
            <w:pPr>
              <w:jc w:val="left"/>
            </w:pPr>
            <w:r>
              <w:t>(38,5%)</w:t>
            </w:r>
          </w:p>
        </w:tc>
      </w:tr>
      <w:tr>
        <w:tc>
          <w:tcPr>
            <w:tcW w:type="dxa" w:w="1440"/>
            <w:noWrap/>
          </w:tcPr>
          <w:p>
            <w:r>
              <w:t>10</w:t>
            </w:r>
          </w:p>
        </w:tc>
        <w:tc>
          <w:tcPr>
            <w:tcW w:type="dxa" w:w="1440"/>
            <w:noWrap/>
          </w:tcPr>
          <w:p>
            <w:r>
              <w:t>Santa Maria</w:t>
            </w:r>
          </w:p>
        </w:tc>
        <w:tc>
          <w:tcPr>
            <w:tcW w:type="dxa" w:w="1440"/>
            <w:noWrap/>
          </w:tcPr>
          <w:p>
            <w:r>
              <w:t>61,8</w:t>
            </w:r>
          </w:p>
        </w:tc>
        <w:tc>
          <w:tcPr>
            <w:tcW w:type="dxa" w:w="1440"/>
            <w:noWrap/>
          </w:tcPr>
          <w:p>
            <w:r>
              <w:t>3</w:t>
            </w:r>
          </w:p>
        </w:tc>
        <w:tc>
          <w:tcPr>
            <w:tcW w:type="dxa" w:w="1440"/>
            <w:noWrap/>
          </w:tcPr>
          <w:p>
            <w:pPr>
              <w:jc w:val="left"/>
            </w:pPr>
            <w:r>
              <w:t>3 m³</w:t>
            </w:r>
          </w:p>
          <w:p>
            <w:pPr>
              <w:jc w:val="left"/>
            </w:pPr>
            <w:r>
              <w:t>(25 días, 89,3%)</w:t>
            </w:r>
          </w:p>
        </w:tc>
        <w:tc>
          <w:tcPr>
            <w:tcW w:type="dxa" w:w="1440"/>
            <w:noWrap/>
          </w:tcPr>
          <w:p>
            <w:pPr>
              <w:jc w:val="left"/>
            </w:pPr>
            <w:r>
              <w:t>0,0 m³</w:t>
            </w:r>
          </w:p>
          <w:p>
            <w:pPr>
              <w:jc w:val="left"/>
            </w:pPr>
            <w:r>
              <w:t>(0,0%)</w:t>
            </w:r>
          </w:p>
        </w:tc>
      </w:tr>
      <w:tr>
        <w:tc>
          <w:tcPr>
            <w:tcW w:type="dxa" w:w="1440"/>
            <w:noWrap/>
          </w:tcPr>
          <w:p>
            <w:r>
              <w:t>11</w:t>
            </w:r>
          </w:p>
        </w:tc>
        <w:tc>
          <w:tcPr>
            <w:tcW w:type="dxa" w:w="1440"/>
            <w:noWrap/>
          </w:tcPr>
          <w:p>
            <w:r>
              <w:t>CE Valle Hermoso</w:t>
            </w:r>
          </w:p>
        </w:tc>
        <w:tc>
          <w:tcPr>
            <w:tcW w:type="dxa" w:w="1440"/>
            <w:noWrap/>
          </w:tcPr>
          <w:p>
            <w:r>
              <w:t>43,4</w:t>
            </w:r>
          </w:p>
        </w:tc>
        <w:tc>
          <w:tcPr>
            <w:tcW w:type="dxa" w:w="1440"/>
            <w:noWrap/>
          </w:tcPr>
          <w:p>
            <w:r>
              <w:t>4</w:t>
            </w:r>
          </w:p>
        </w:tc>
        <w:tc>
          <w:tcPr>
            <w:tcW w:type="dxa" w:w="1440"/>
            <w:noWrap/>
          </w:tcPr>
          <w:p>
            <w:pPr>
              <w:jc w:val="left"/>
            </w:pPr>
            <w:r>
              <w:t>1,2 m³</w:t>
            </w:r>
          </w:p>
          <w:p>
            <w:pPr>
              <w:jc w:val="left"/>
            </w:pPr>
            <w:r>
              <w:t>(4 días, 14,3%)</w:t>
            </w:r>
          </w:p>
        </w:tc>
        <w:tc>
          <w:tcPr>
            <w:tcW w:type="dxa" w:w="1440"/>
            <w:noWrap/>
          </w:tcPr>
          <w:p>
            <w:pPr>
              <w:jc w:val="left"/>
            </w:pPr>
            <w:r>
              <w:t>0,0 m³</w:t>
            </w:r>
          </w:p>
          <w:p>
            <w:pPr>
              <w:jc w:val="left"/>
            </w:pPr>
            <w:r>
              <w:t>(0,0%)</w:t>
            </w:r>
          </w:p>
        </w:tc>
      </w:tr>
      <w:tr>
        <w:tc>
          <w:tcPr>
            <w:tcW w:type="dxa" w:w="1440"/>
            <w:noWrap/>
          </w:tcPr>
          <w:p>
            <w:r>
              <w:t>12</w:t>
            </w:r>
          </w:p>
        </w:tc>
        <w:tc>
          <w:tcPr>
            <w:tcW w:type="dxa" w:w="1440"/>
            <w:noWrap/>
          </w:tcPr>
          <w:p>
            <w:r>
              <w:t>Alicura</w:t>
            </w:r>
          </w:p>
        </w:tc>
        <w:tc>
          <w:tcPr>
            <w:tcW w:type="dxa" w:w="1440"/>
            <w:noWrap/>
          </w:tcPr>
          <w:p>
            <w:r>
              <w:t>22,6</w:t>
            </w:r>
          </w:p>
        </w:tc>
        <w:tc>
          <w:tcPr>
            <w:tcW w:type="dxa" w:w="1440"/>
            <w:noWrap/>
          </w:tcPr>
          <w:p>
            <w:r>
              <w:t>6</w:t>
            </w:r>
          </w:p>
        </w:tc>
        <w:tc>
          <w:tcPr>
            <w:tcW w:type="dxa" w:w="1440"/>
            <w:noWrap/>
          </w:tcPr>
          <w:p>
            <w:pPr>
              <w:jc w:val="left"/>
            </w:pPr>
            <w:r>
              <w:t>3,3 m³</w:t>
            </w:r>
          </w:p>
          <w:p>
            <w:pPr>
              <w:jc w:val="left"/>
            </w:pPr>
            <w:r>
              <w:t>(5 días, 17,9%)</w:t>
            </w:r>
          </w:p>
        </w:tc>
        <w:tc>
          <w:tcPr>
            <w:tcW w:type="dxa" w:w="1440"/>
            <w:noWrap/>
          </w:tcPr>
          <w:p>
            <w:pPr>
              <w:jc w:val="left"/>
            </w:pPr>
            <w:r>
              <w:t>0,0 m³</w:t>
            </w:r>
          </w:p>
          <w:p>
            <w:pPr>
              <w:jc w:val="left"/>
            </w:pPr>
            <w:r>
              <w:t>(0,0%)</w:t>
            </w:r>
          </w:p>
        </w:tc>
      </w:tr>
      <w:tr>
        <w:tc>
          <w:tcPr>
            <w:tcW w:type="dxa" w:w="1440"/>
            <w:noWrap/>
          </w:tcPr>
          <w:p>
            <w:r>
              <w:t>13</w:t>
            </w:r>
          </w:p>
        </w:tc>
        <w:tc>
          <w:tcPr>
            <w:tcW w:type="dxa" w:w="1440"/>
            <w:noWrap/>
          </w:tcPr>
          <w:p>
            <w:r>
              <w:t>Likankura</w:t>
            </w:r>
          </w:p>
        </w:tc>
        <w:tc>
          <w:tcPr>
            <w:tcW w:type="dxa" w:w="1440"/>
            <w:noWrap/>
          </w:tcPr>
          <w:p>
            <w:r>
              <w:t>10,9</w:t>
            </w:r>
          </w:p>
        </w:tc>
        <w:tc>
          <w:tcPr>
            <w:tcW w:type="dxa" w:w="1440"/>
            <w:noWrap/>
          </w:tcPr>
          <w:p>
            <w:r>
              <w:t>0</w:t>
            </w:r>
          </w:p>
        </w:tc>
        <w:tc>
          <w:tcPr>
            <w:tcW w:type="dxa" w:w="1440"/>
            <w:noWrap/>
          </w:tcPr>
          <w:p>
            <w:pPr>
              <w:jc w:val="left"/>
            </w:pPr>
            <w:r>
              <w:t>3,6 m³</w:t>
            </w:r>
          </w:p>
          <w:p>
            <w:pPr>
              <w:jc w:val="left"/>
            </w:pPr>
            <w:r>
              <w:t>(2 días, 7,1%)</w:t>
            </w:r>
          </w:p>
        </w:tc>
        <w:tc>
          <w:tcPr>
            <w:tcW w:type="dxa" w:w="1440"/>
            <w:noWrap/>
          </w:tcPr>
          <w:p>
            <w:pPr>
              <w:jc w:val="left"/>
            </w:pPr>
            <w:r>
              <w:t>0,0 m³</w:t>
            </w:r>
          </w:p>
          <w:p>
            <w:pPr>
              <w:jc w:val="left"/>
            </w:pPr>
            <w:r>
              <w:t>(0,0%)</w:t>
            </w:r>
          </w:p>
        </w:tc>
      </w:tr>
      <w:tr>
        <w:tc>
          <w:tcPr>
            <w:tcW w:type="dxa" w:w="1440"/>
            <w:noWrap/>
          </w:tcPr>
          <w:p>
            <w:r>
              <w:t>14</w:t>
            </w:r>
          </w:p>
        </w:tc>
        <w:tc>
          <w:tcPr>
            <w:tcW w:type="dxa" w:w="1440"/>
            <w:noWrap/>
          </w:tcPr>
          <w:p>
            <w:r>
              <w:t>Eduardo de la Barra</w:t>
            </w:r>
          </w:p>
        </w:tc>
        <w:tc>
          <w:tcPr>
            <w:tcW w:type="dxa" w:w="1440"/>
            <w:noWrap/>
          </w:tcPr>
          <w:p>
            <w:r>
              <w:t>9,9</w:t>
            </w:r>
          </w:p>
        </w:tc>
        <w:tc>
          <w:tcPr>
            <w:tcW w:type="dxa" w:w="1440"/>
            <w:noWrap/>
          </w:tcPr>
          <w:p>
            <w:r>
              <w:t>0</w:t>
            </w:r>
          </w:p>
        </w:tc>
        <w:tc>
          <w:tcPr>
            <w:tcW w:type="dxa" w:w="1440"/>
            <w:noWrap/>
          </w:tcPr>
          <w:p>
            <w:pPr>
              <w:jc w:val="left"/>
            </w:pPr>
            <w:r>
              <w:t>0,2 m³</w:t>
            </w:r>
          </w:p>
          <w:p>
            <w:pPr>
              <w:jc w:val="left"/>
            </w:pPr>
            <w:r>
              <w:t>(1 días, 3,6%)</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3.442,9</w:t>
            </w:r>
          </w:p>
        </w:tc>
        <w:tc>
          <w:tcPr>
            <w:tcW w:type="dxa" w:w="1440"/>
            <w:noWrap/>
            <w:shd w:val="clear" w:fill="FFE6E6"/>
          </w:tcPr>
          <w:p>
            <w:pPr>
              <w:jc w:val="left"/>
            </w:pPr>
            <w:r>
              <w:rPr>
                <w:b/>
                <w:color w:val="FF0000"/>
              </w:rPr>
              <w:t>157</w:t>
            </w:r>
          </w:p>
        </w:tc>
        <w:tc>
          <w:tcPr>
            <w:tcW w:type="dxa" w:w="1440"/>
            <w:noWrap/>
            <w:shd w:val="clear" w:fill="FFE6E6"/>
          </w:tcPr>
          <w:p>
            <w:pPr>
              <w:jc w:val="left"/>
            </w:pPr>
            <w:r>
              <w:rPr>
                <w:b/>
                <w:color w:val="FF0000"/>
              </w:rPr>
              <w:t>335,8 m³</w:t>
            </w:r>
          </w:p>
        </w:tc>
        <w:tc>
          <w:tcPr>
            <w:tcW w:type="dxa" w:w="1440"/>
            <w:noWrap/>
            <w:shd w:val="clear" w:fill="FFE6E6"/>
          </w:tcPr>
          <w:p>
            <w:pPr>
              <w:jc w:val="left"/>
            </w:pPr>
            <w:r>
              <w:rPr>
                <w:b/>
                <w:color w:val="FF0000"/>
              </w:rPr>
              <w:t>57 m³</w:t>
            </w:r>
          </w:p>
        </w:tc>
      </w:tr>
    </w:tbl>
    <w:p/>
    <w:p>
      <w:pPr>
        <w:keepNext/>
        <w:widowControl/>
        <w:spacing w:after="60"/>
        <w:jc w:val="center"/>
      </w:pPr>
      <w:r>
        <w:drawing>
          <wp:inline xmlns:a="http://schemas.openxmlformats.org/drawingml/2006/main" xmlns:pic="http://schemas.openxmlformats.org/drawingml/2006/picture">
            <wp:extent cx="5486400" cy="3430748"/>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30748"/>
                    </a:xfrm>
                    <a:prstGeom prst="rect"/>
                  </pic:spPr>
                </pic:pic>
              </a:graphicData>
            </a:graphic>
          </wp:inline>
        </w:drawing>
      </w:r>
    </w:p>
    <w:p/>
    <w:p>
      <w:pPr>
        <w:keepNext/>
        <w:widowControl/>
        <w:spacing w:after="60"/>
      </w:pPr>
      <w:r>
        <w:rPr>
          <w:b/>
          <w:color w:val="003366"/>
        </w:rPr>
        <w:t>DÍA CON MAYOR CONSUMO NOCTURNO - LIC. ANTONIO HERMIDA F (27-02-26):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 Antonio Hermida F registró 27 alerta(s) durante 17 día(s) del periodo analizado. La periodicidad de las alertas es regular (más del 50% de los días).</w:t>
      </w:r>
    </w:p>
    <w:p/>
    <w:p>
      <w:pPr>
        <w:keepNext/>
        <w:widowControl/>
        <w:spacing w:after="60"/>
      </w:pPr>
      <w:r>
        <w:rPr>
          <w:b/>
          <w:color w:val="003366"/>
        </w:rPr>
        <w:t>DÍA CON MAYOR CONSUMO NOCTURNO - CARLOS FERNANDEZ P. (07-02-26):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Carlos Fernandez P. registró 31 alerta(s) durante 21 día(s) del periodo analizado. La periodicidad de las alertas es regular (más del 50% de los días). Se identificó una proyección de filtración de 31,8 m³ ($40.437), lo que indica un patrón de fuga constante durante el periodo.</w:t>
      </w:r>
    </w:p>
    <w:p/>
    <w:p>
      <w:pPr>
        <w:keepNext/>
        <w:widowControl/>
        <w:spacing w:after="60"/>
      </w:pPr>
      <w:r>
        <w:rPr>
          <w:b/>
          <w:color w:val="003366"/>
        </w:rPr>
        <w:t>DÍA CON MAYOR CONSUMO NOCTURNO - SANTA MARIA (20-02-26):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8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Santa Maria registró 3 alerta(s) durante 3 día(s) del periodo analizado. La periodicidad de las alertas es puntual (menos del 20% de los días).</w:t>
      </w:r>
    </w:p>
    <w:p/>
    <w:p>
      <w:pPr>
        <w:keepNext/>
        <w:widowControl/>
        <w:spacing w:after="60"/>
      </w:pPr>
      <w:r>
        <w:rPr>
          <w:b/>
          <w:color w:val="003366"/>
        </w:rPr>
        <w:t>DÍA CON MAYOR CONSUMO NOCTURNO - ERASMO ESCALA (26-02-26):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8_0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Erasmo Escala registró 28 alerta(s) durante 20 día(s) del periodo analizado. La periodicidad de las alertas es regular (más del 50% de los días). Se identificó una proyección de filtración de 25,2 m³ ($32.004), lo que indica un patrón de fuga constante durante el periodo.</w:t>
      </w:r>
    </w:p>
    <w:p/>
    <w:p>
      <w:pPr>
        <w:keepNext/>
        <w:widowControl/>
        <w:spacing w:after="60"/>
      </w:pPr>
      <w:r>
        <w:rPr>
          <w:b/>
          <w:color w:val="003366"/>
        </w:rPr>
        <w:t>DÍA CON MAYOR CONSUMO NOCTURNO - ALICURA (28-02-26):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8.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Alicura registró 6 alerta(s) durante 6 día(s) del periodo analizado. La periodicidad de las alertas es intermitente (más del 20% de los días).</w:t>
      </w:r>
    </w:p>
    <w:p/>
    <w:p>
      <w:pPr>
        <w:keepNext/>
        <w:widowControl/>
        <w:spacing w:after="60"/>
      </w:pPr>
      <w:r>
        <w:rPr>
          <w:b/>
          <w:color w:val="003366"/>
        </w:rPr>
        <w:t>DÍA CON MAYOR CONSUMO NOCTURNO - JUAN BAUTISTA PASTEN (27-02-26):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9.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Juan Bautista Pasten registró 7 alerta(s) durante 6 día(s) del periodo analizado. La periodicidad de las alertas es intermitente (más del 20% de los días).</w:t>
      </w:r>
    </w:p>
    <w:p/>
    <w:p>
      <w:pPr>
        <w:keepNext/>
        <w:widowControl/>
        <w:spacing w:after="60"/>
      </w:pPr>
      <w:r>
        <w:rPr>
          <w:b/>
          <w:color w:val="003366"/>
        </w:rPr>
        <w:t>DÍA CON MAYOR CONSUMO NOCTURNO - MATILDE HUICI NAVAS (27-02-26):</w:t>
      </w:r>
    </w:p>
    <w:p>
      <w:pPr>
        <w:keepNext/>
        <w:widowControl/>
        <w:spacing w:after="60"/>
        <w:jc w:val="center"/>
      </w:pPr>
      <w:r>
        <w:drawing>
          <wp:inline xmlns:a="http://schemas.openxmlformats.org/drawingml/2006/main" xmlns:pic="http://schemas.openxmlformats.org/drawingml/2006/picture">
            <wp:extent cx="5486400" cy="2704355"/>
            <wp:docPr id="9" name="Picture 9"/>
            <wp:cNvGraphicFramePr>
              <a:graphicFrameLocks noChangeAspect="1"/>
            </wp:cNvGraphicFramePr>
            <a:graphic>
              <a:graphicData uri="http://schemas.openxmlformats.org/drawingml/2006/picture">
                <pic:pic>
                  <pic:nvPicPr>
                    <pic:cNvPr id="0" name="chart_max_nocturnal_000008_10.png"/>
                    <pic:cNvPicPr/>
                  </pic:nvPicPr>
                  <pic:blipFill>
                    <a:blip r:embed="rId18"/>
                    <a:stretch>
                      <a:fillRect/>
                    </a:stretch>
                  </pic:blipFill>
                  <pic:spPr>
                    <a:xfrm>
                      <a:off x="0" y="0"/>
                      <a:ext cx="5486400" cy="2704355"/>
                    </a:xfrm>
                    <a:prstGeom prst="rect"/>
                  </pic:spPr>
                </pic:pic>
              </a:graphicData>
            </a:graphic>
          </wp:inline>
        </w:drawing>
      </w:r>
    </w:p>
    <w:p>
      <w:pPr>
        <w:jc w:val="both"/>
      </w:pPr>
      <w:r>
        <w:rPr>
          <w:color w:val="000000"/>
        </w:rPr>
        <w:t>El nodo Matilde Huici Navas registró 33 alerta(s) durante 19 día(s) del periodo analizado. La periodicidad de las alertas es regular (más del 50% de los días).</w:t>
      </w:r>
    </w:p>
    <w:p/>
    <w:p>
      <w:pPr>
        <w:keepNext/>
        <w:widowControl/>
        <w:spacing w:after="60"/>
      </w:pPr>
      <w:r>
        <w:rPr>
          <w:b/>
          <w:color w:val="003366"/>
        </w:rPr>
        <w:t>DÍA CON MAYOR CONSUMO NOCTURNO - CE VALLE HERMOSO (25-02-26):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1.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CE Valle Hermoso registró 4 alerta(s) durante 3 día(s) del periodo analizado. La periodicidad de las alertas es puntual (menos del 20% de los días).</w:t>
      </w:r>
    </w:p>
    <w:p/>
    <w:p>
      <w:pPr>
        <w:keepNext/>
        <w:widowControl/>
        <w:spacing w:after="60"/>
      </w:pPr>
      <w:r>
        <w:rPr>
          <w:b/>
          <w:color w:val="003366"/>
        </w:rPr>
        <w:t>DÍA CON MAYOR CONSUMO NOCTURNO - UNIÓN NACIONAL ÁRABE (27-02-26):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2.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Unión Nacional Árabe registró 7 alerta(s) durante 7 día(s) del periodo analizado. La periodicidad de las alertas es intermitente (más del 20% de los días).</w:t>
      </w:r>
    </w:p>
    <w:p/>
    <w:p>
      <w:pPr>
        <w:keepNext/>
        <w:widowControl/>
        <w:spacing w:after="60"/>
      </w:pPr>
      <w:r>
        <w:rPr>
          <w:b/>
          <w:color w:val="003366"/>
        </w:rPr>
        <w:t>DÍA CON MAYOR CONSUMO NOCTURNO - JUAN PABLO II (11-02-26):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08_14.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Juan Pablo II registró 11 alerta(s) durante 8 día(s) del periodo analizado. La periodicidad de las alertas es intermitente (más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Carlos Fernandez P. y Erasmo Escala.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