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01-03-26 - 31-03-26</w:t>
        <w:br/>
        <w:t>Generado: 31-03-26 16:40</w:t>
      </w:r>
    </w:p>
    <w:p>
      <w:pPr>
        <w:pStyle w:val="Heading1"/>
        <w:keepNext/>
        <w:widowControl/>
        <w:spacing w:after="60"/>
      </w:pPr>
      <w:r>
        <w:rPr>
          <w:b/>
          <w:color w:val="003366"/>
        </w:rPr>
        <w:t>RESUMEN EJECUTIVO AGREGADO</w:t>
      </w:r>
    </w:p>
    <w:p>
      <w:r>
        <w:t>Puntos de monitoreo analizados: 14.</w:t>
        <w:br/>
      </w:r>
      <w:r>
        <w:t>Consumo total agregado: 13.248,4 m³.</w:t>
        <w:br/>
      </w:r>
      <w:r>
        <w:t>Consumo promedio por punto: 946,3 m³.</w:t>
        <w:br/>
      </w:r>
      <w:r>
        <w:t>Total de alertas registradas: 172.</w:t>
        <w:br/>
      </w:r>
      <w:r>
        <w:t>Promedio de alerta agregado: 1,5 m³/h.</w:t>
        <w:br/>
      </w:r>
      <w:r>
        <w:t>Proyección diaria de consumo nocturno agregada: 35,8 m³/día.</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4.591,4 m³ durante el periodo analizado. Este valor representa un 385,2% por encima del promedio (946,3 m³ por punto), indicando una demanda significativamente superior a la media. Por otro lado, el punto con menor consumo es Juan Pablo II, con un total de 116,3 m³. Este valor representa un 87,7% por debajo del promedio, mostrando una demanda significativamente inferior. La diferencia entre el punto de mayor y menor consumo es considerable, siendo el consumo máximo aproximadamente 39,5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4.591,4</w:t>
            </w:r>
          </w:p>
        </w:tc>
        <w:tc>
          <w:tcPr>
            <w:tcW w:type="dxa" w:w="1440"/>
            <w:noWrap/>
          </w:tcPr>
          <w:p>
            <w:r>
              <w:t>0</w:t>
            </w:r>
          </w:p>
        </w:tc>
        <w:tc>
          <w:tcPr>
            <w:tcW w:type="dxa" w:w="1440"/>
            <w:noWrap/>
          </w:tcPr>
          <w:p>
            <w:pPr>
              <w:jc w:val="left"/>
            </w:pPr>
            <w:r>
              <w:t>848,6 m³</w:t>
            </w:r>
          </w:p>
          <w:p>
            <w:pPr>
              <w:jc w:val="left"/>
            </w:pPr>
            <w:r>
              <w:t>(27 días, 87,1%)</w:t>
            </w:r>
          </w:p>
        </w:tc>
        <w:tc>
          <w:tcPr>
            <w:tcW w:type="dxa" w:w="1440"/>
            <w:noWrap/>
          </w:tcPr>
          <w:p>
            <w:pPr>
              <w:jc w:val="left"/>
            </w:pPr>
            <w:r>
              <w:t>0,0 m³</w:t>
            </w:r>
          </w:p>
          <w:p>
            <w:pPr>
              <w:jc w:val="left"/>
            </w:pPr>
            <w:r>
              <w:t>(0,0%)</w:t>
            </w:r>
          </w:p>
        </w:tc>
      </w:tr>
      <w:tr>
        <w:tc>
          <w:tcPr>
            <w:tcW w:type="dxa" w:w="1440"/>
            <w:noWrap/>
          </w:tcPr>
          <w:p>
            <w:r>
              <w:t>2</w:t>
            </w:r>
          </w:p>
        </w:tc>
        <w:tc>
          <w:tcPr>
            <w:tcW w:type="dxa" w:w="1440"/>
            <w:noWrap/>
          </w:tcPr>
          <w:p>
            <w:r>
              <w:t>Lic. Antonio Hermida F</w:t>
            </w:r>
          </w:p>
        </w:tc>
        <w:tc>
          <w:tcPr>
            <w:tcW w:type="dxa" w:w="1440"/>
            <w:noWrap/>
          </w:tcPr>
          <w:p>
            <w:r>
              <w:t>1.835,5</w:t>
            </w:r>
          </w:p>
        </w:tc>
        <w:tc>
          <w:tcPr>
            <w:tcW w:type="dxa" w:w="1440"/>
            <w:noWrap/>
          </w:tcPr>
          <w:p>
            <w:r>
              <w:t>22</w:t>
            </w:r>
          </w:p>
        </w:tc>
        <w:tc>
          <w:tcPr>
            <w:tcW w:type="dxa" w:w="1440"/>
            <w:noWrap/>
          </w:tcPr>
          <w:p>
            <w:pPr>
              <w:jc w:val="left"/>
            </w:pPr>
            <w:r>
              <w:t>270,9 m³</w:t>
            </w:r>
          </w:p>
          <w:p>
            <w:pPr>
              <w:jc w:val="left"/>
            </w:pPr>
            <w:r>
              <w:t>(27 días, 87,1%)</w:t>
            </w:r>
          </w:p>
        </w:tc>
        <w:tc>
          <w:tcPr>
            <w:tcW w:type="dxa" w:w="1440"/>
            <w:noWrap/>
          </w:tcPr>
          <w:p>
            <w:pPr>
              <w:jc w:val="left"/>
            </w:pPr>
            <w:r>
              <w:t>0,0 m³</w:t>
            </w:r>
          </w:p>
          <w:p>
            <w:pPr>
              <w:jc w:val="left"/>
            </w:pPr>
            <w:r>
              <w:t>(0,0%)</w:t>
            </w:r>
          </w:p>
        </w:tc>
      </w:tr>
      <w:tr>
        <w:tc>
          <w:tcPr>
            <w:tcW w:type="dxa" w:w="1440"/>
            <w:noWrap/>
          </w:tcPr>
          <w:p>
            <w:r>
              <w:t>3</w:t>
            </w:r>
          </w:p>
        </w:tc>
        <w:tc>
          <w:tcPr>
            <w:tcW w:type="dxa" w:w="1440"/>
            <w:noWrap/>
          </w:tcPr>
          <w:p>
            <w:r>
              <w:t>Luis Arrieta Caña</w:t>
            </w:r>
          </w:p>
        </w:tc>
        <w:tc>
          <w:tcPr>
            <w:tcW w:type="dxa" w:w="1440"/>
            <w:noWrap/>
          </w:tcPr>
          <w:p>
            <w:r>
              <w:t>1.527,3</w:t>
            </w:r>
          </w:p>
        </w:tc>
        <w:tc>
          <w:tcPr>
            <w:tcW w:type="dxa" w:w="1440"/>
            <w:noWrap/>
          </w:tcPr>
          <w:p>
            <w:r>
              <w:t>0</w:t>
            </w:r>
          </w:p>
        </w:tc>
        <w:tc>
          <w:tcPr>
            <w:tcW w:type="dxa" w:w="1440"/>
            <w:noWrap/>
          </w:tcPr>
          <w:p>
            <w:pPr>
              <w:jc w:val="left"/>
            </w:pPr>
            <w:r>
              <w:t>88,8 m³</w:t>
            </w:r>
          </w:p>
          <w:p>
            <w:pPr>
              <w:jc w:val="left"/>
            </w:pPr>
            <w:r>
              <w:t>(22 días, 71%)</w:t>
            </w:r>
          </w:p>
        </w:tc>
        <w:tc>
          <w:tcPr>
            <w:tcW w:type="dxa" w:w="1440"/>
            <w:noWrap/>
          </w:tcPr>
          <w:p>
            <w:pPr>
              <w:jc w:val="left"/>
            </w:pPr>
            <w:r>
              <w:t>0,0 m³</w:t>
            </w:r>
          </w:p>
          <w:p>
            <w:pPr>
              <w:jc w:val="left"/>
            </w:pPr>
            <w:r>
              <w:t>(0,0%)</w:t>
            </w:r>
          </w:p>
        </w:tc>
      </w:tr>
      <w:tr>
        <w:tc>
          <w:tcPr>
            <w:tcW w:type="dxa" w:w="1440"/>
            <w:noWrap/>
          </w:tcPr>
          <w:p>
            <w:r>
              <w:t>4</w:t>
            </w:r>
          </w:p>
        </w:tc>
        <w:tc>
          <w:tcPr>
            <w:tcW w:type="dxa" w:w="1440"/>
            <w:noWrap/>
          </w:tcPr>
          <w:p>
            <w:r>
              <w:t>Unión Nacional Árabe</w:t>
            </w:r>
          </w:p>
        </w:tc>
        <w:tc>
          <w:tcPr>
            <w:tcW w:type="dxa" w:w="1440"/>
            <w:noWrap/>
          </w:tcPr>
          <w:p>
            <w:r>
              <w:t>1.215,1</w:t>
            </w:r>
          </w:p>
        </w:tc>
        <w:tc>
          <w:tcPr>
            <w:tcW w:type="dxa" w:w="1440"/>
            <w:noWrap/>
          </w:tcPr>
          <w:p>
            <w:r>
              <w:t>4</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5</w:t>
            </w:r>
          </w:p>
        </w:tc>
        <w:tc>
          <w:tcPr>
            <w:tcW w:type="dxa" w:w="1440"/>
            <w:noWrap/>
          </w:tcPr>
          <w:p>
            <w:r>
              <w:t>Juan Bautista Pasten</w:t>
            </w:r>
          </w:p>
        </w:tc>
        <w:tc>
          <w:tcPr>
            <w:tcW w:type="dxa" w:w="1440"/>
            <w:noWrap/>
          </w:tcPr>
          <w:p>
            <w:r>
              <w:t>713,5</w:t>
            </w:r>
          </w:p>
        </w:tc>
        <w:tc>
          <w:tcPr>
            <w:tcW w:type="dxa" w:w="1440"/>
            <w:noWrap/>
          </w:tcPr>
          <w:p>
            <w:r>
              <w:t>18</w:t>
            </w:r>
          </w:p>
        </w:tc>
        <w:tc>
          <w:tcPr>
            <w:tcW w:type="dxa" w:w="1440"/>
            <w:noWrap/>
          </w:tcPr>
          <w:p>
            <w:pPr>
              <w:jc w:val="left"/>
            </w:pPr>
            <w:r>
              <w:t>65,8 m³</w:t>
            </w:r>
          </w:p>
          <w:p>
            <w:pPr>
              <w:jc w:val="left"/>
            </w:pPr>
            <w:r>
              <w:t>(20 días, 64,5%)</w:t>
            </w:r>
          </w:p>
        </w:tc>
        <w:tc>
          <w:tcPr>
            <w:tcW w:type="dxa" w:w="1440"/>
            <w:noWrap/>
          </w:tcPr>
          <w:p>
            <w:pPr>
              <w:jc w:val="left"/>
            </w:pPr>
            <w:r>
              <w:t>0,0 m³</w:t>
            </w:r>
          </w:p>
          <w:p>
            <w:pPr>
              <w:jc w:val="left"/>
            </w:pPr>
            <w:r>
              <w:t>(0,0%)</w:t>
            </w:r>
          </w:p>
        </w:tc>
      </w:tr>
      <w:tr>
        <w:tc>
          <w:tcPr>
            <w:tcW w:type="dxa" w:w="1440"/>
            <w:noWrap/>
          </w:tcPr>
          <w:p>
            <w:r>
              <w:t>6</w:t>
            </w:r>
          </w:p>
        </w:tc>
        <w:tc>
          <w:tcPr>
            <w:tcW w:type="dxa" w:w="1440"/>
            <w:noWrap/>
          </w:tcPr>
          <w:p>
            <w:r>
              <w:t>Erasmo Escala</w:t>
            </w:r>
          </w:p>
        </w:tc>
        <w:tc>
          <w:tcPr>
            <w:tcW w:type="dxa" w:w="1440"/>
            <w:noWrap/>
          </w:tcPr>
          <w:p>
            <w:r>
              <w:t>627,7</w:t>
            </w:r>
          </w:p>
        </w:tc>
        <w:tc>
          <w:tcPr>
            <w:tcW w:type="dxa" w:w="1440"/>
            <w:noWrap/>
          </w:tcPr>
          <w:p>
            <w:r>
              <w:t>10</w:t>
            </w:r>
          </w:p>
        </w:tc>
        <w:tc>
          <w:tcPr>
            <w:tcW w:type="dxa" w:w="1440"/>
            <w:noWrap/>
          </w:tcPr>
          <w:p>
            <w:pPr>
              <w:jc w:val="left"/>
            </w:pPr>
            <w:r>
              <w:t>75,9 m³</w:t>
            </w:r>
          </w:p>
          <w:p>
            <w:pPr>
              <w:jc w:val="left"/>
            </w:pPr>
            <w:r>
              <w:t>(28 días, 90,3%)</w:t>
            </w:r>
          </w:p>
        </w:tc>
        <w:tc>
          <w:tcPr>
            <w:tcW w:type="dxa" w:w="1440"/>
            <w:noWrap/>
          </w:tcPr>
          <w:p>
            <w:pPr>
              <w:jc w:val="left"/>
            </w:pPr>
            <w:r>
              <w:t>0,0 m³</w:t>
            </w:r>
          </w:p>
          <w:p>
            <w:pPr>
              <w:jc w:val="left"/>
            </w:pPr>
            <w:r>
              <w:t>(0,0%)</w:t>
            </w:r>
          </w:p>
        </w:tc>
      </w:tr>
      <w:tr>
        <w:tc>
          <w:tcPr>
            <w:tcW w:type="dxa" w:w="1440"/>
            <w:noWrap/>
          </w:tcPr>
          <w:p>
            <w:r>
              <w:t>7</w:t>
            </w:r>
          </w:p>
        </w:tc>
        <w:tc>
          <w:tcPr>
            <w:tcW w:type="dxa" w:w="1440"/>
            <w:noWrap/>
          </w:tcPr>
          <w:p>
            <w:r>
              <w:t>CE Valle Hermoso</w:t>
            </w:r>
          </w:p>
        </w:tc>
        <w:tc>
          <w:tcPr>
            <w:tcW w:type="dxa" w:w="1440"/>
            <w:noWrap/>
          </w:tcPr>
          <w:p>
            <w:r>
              <w:t>555,8</w:t>
            </w:r>
          </w:p>
        </w:tc>
        <w:tc>
          <w:tcPr>
            <w:tcW w:type="dxa" w:w="1440"/>
            <w:noWrap/>
          </w:tcPr>
          <w:p>
            <w:r>
              <w:t>1</w:t>
            </w:r>
          </w:p>
        </w:tc>
        <w:tc>
          <w:tcPr>
            <w:tcW w:type="dxa" w:w="1440"/>
            <w:noWrap/>
          </w:tcPr>
          <w:p>
            <w:pPr>
              <w:jc w:val="left"/>
            </w:pPr>
            <w:r>
              <w:t>0,6 m³</w:t>
            </w:r>
          </w:p>
          <w:p>
            <w:pPr>
              <w:jc w:val="left"/>
            </w:pPr>
            <w:r>
              <w:t>(2 días, 6,5%)</w:t>
            </w:r>
          </w:p>
        </w:tc>
        <w:tc>
          <w:tcPr>
            <w:tcW w:type="dxa" w:w="1440"/>
            <w:noWrap/>
          </w:tcPr>
          <w:p>
            <w:pPr>
              <w:jc w:val="left"/>
            </w:pPr>
            <w:r>
              <w:t>0,0 m³</w:t>
            </w:r>
          </w:p>
          <w:p>
            <w:pPr>
              <w:jc w:val="left"/>
            </w:pPr>
            <w:r>
              <w:t>(0,0%)</w:t>
            </w:r>
          </w:p>
        </w:tc>
      </w:tr>
      <w:tr>
        <w:tc>
          <w:tcPr>
            <w:tcW w:type="dxa" w:w="1440"/>
            <w:noWrap/>
          </w:tcPr>
          <w:p>
            <w:r>
              <w:t>8</w:t>
            </w:r>
          </w:p>
        </w:tc>
        <w:tc>
          <w:tcPr>
            <w:tcW w:type="dxa" w:w="1440"/>
            <w:noWrap/>
          </w:tcPr>
          <w:p>
            <w:r>
              <w:t>Santa Maria</w:t>
            </w:r>
          </w:p>
        </w:tc>
        <w:tc>
          <w:tcPr>
            <w:tcW w:type="dxa" w:w="1440"/>
            <w:noWrap/>
          </w:tcPr>
          <w:p>
            <w:r>
              <w:t>507,4</w:t>
            </w:r>
          </w:p>
        </w:tc>
        <w:tc>
          <w:tcPr>
            <w:tcW w:type="dxa" w:w="1440"/>
            <w:noWrap/>
          </w:tcPr>
          <w:p>
            <w:r>
              <w:t>2</w:t>
            </w:r>
          </w:p>
        </w:tc>
        <w:tc>
          <w:tcPr>
            <w:tcW w:type="dxa" w:w="1440"/>
            <w:noWrap/>
          </w:tcPr>
          <w:p>
            <w:pPr>
              <w:jc w:val="left"/>
            </w:pPr>
            <w:r>
              <w:t>5,9 m³</w:t>
            </w:r>
          </w:p>
          <w:p>
            <w:pPr>
              <w:jc w:val="left"/>
            </w:pPr>
            <w:r>
              <w:t>(22 días, 71%)</w:t>
            </w:r>
          </w:p>
        </w:tc>
        <w:tc>
          <w:tcPr>
            <w:tcW w:type="dxa" w:w="1440"/>
            <w:noWrap/>
          </w:tcPr>
          <w:p>
            <w:pPr>
              <w:jc w:val="left"/>
            </w:pPr>
            <w:r>
              <w:t>0,0 m³</w:t>
            </w:r>
          </w:p>
          <w:p>
            <w:pPr>
              <w:jc w:val="left"/>
            </w:pPr>
            <w:r>
              <w:t>(0,0%)</w:t>
            </w:r>
          </w:p>
        </w:tc>
      </w:tr>
      <w:tr>
        <w:tc>
          <w:tcPr>
            <w:tcW w:type="dxa" w:w="1440"/>
            <w:noWrap/>
          </w:tcPr>
          <w:p>
            <w:r>
              <w:t>9</w:t>
            </w:r>
          </w:p>
        </w:tc>
        <w:tc>
          <w:tcPr>
            <w:tcW w:type="dxa" w:w="1440"/>
            <w:noWrap/>
          </w:tcPr>
          <w:p>
            <w:r>
              <w:t>Carlos Fernandez P.</w:t>
            </w:r>
          </w:p>
        </w:tc>
        <w:tc>
          <w:tcPr>
            <w:tcW w:type="dxa" w:w="1440"/>
            <w:noWrap/>
          </w:tcPr>
          <w:p>
            <w:r>
              <w:t>504,8</w:t>
            </w:r>
          </w:p>
        </w:tc>
        <w:tc>
          <w:tcPr>
            <w:tcW w:type="dxa" w:w="1440"/>
            <w:noWrap/>
          </w:tcPr>
          <w:p>
            <w:r>
              <w:t>25</w:t>
            </w:r>
          </w:p>
        </w:tc>
        <w:tc>
          <w:tcPr>
            <w:tcW w:type="dxa" w:w="1440"/>
            <w:noWrap/>
          </w:tcPr>
          <w:p>
            <w:pPr>
              <w:jc w:val="left"/>
            </w:pPr>
            <w:r>
              <w:t>46,8 m³</w:t>
            </w:r>
          </w:p>
          <w:p>
            <w:pPr>
              <w:jc w:val="left"/>
            </w:pPr>
            <w:r>
              <w:t>(31 días, 100%)</w:t>
            </w:r>
          </w:p>
        </w:tc>
        <w:tc>
          <w:tcPr>
            <w:tcW w:type="dxa" w:w="1440"/>
            <w:noWrap/>
          </w:tcPr>
          <w:p>
            <w:pPr>
              <w:jc w:val="left"/>
            </w:pPr>
            <w:r>
              <w:t>187,2 m³</w:t>
            </w:r>
          </w:p>
          <w:p>
            <w:pPr>
              <w:jc w:val="left"/>
            </w:pPr>
            <w:r>
              <w:t>(37,1%)</w:t>
            </w:r>
          </w:p>
        </w:tc>
      </w:tr>
      <w:tr>
        <w:tc>
          <w:tcPr>
            <w:tcW w:type="dxa" w:w="1440"/>
            <w:noWrap/>
          </w:tcPr>
          <w:p>
            <w:r>
              <w:t>10</w:t>
            </w:r>
          </w:p>
        </w:tc>
        <w:tc>
          <w:tcPr>
            <w:tcW w:type="dxa" w:w="1440"/>
            <w:noWrap/>
          </w:tcPr>
          <w:p>
            <w:r>
              <w:t>Eduardo de la Barra</w:t>
            </w:r>
          </w:p>
        </w:tc>
        <w:tc>
          <w:tcPr>
            <w:tcW w:type="dxa" w:w="1440"/>
            <w:noWrap/>
          </w:tcPr>
          <w:p>
            <w:r>
              <w:t>430,5</w:t>
            </w:r>
          </w:p>
        </w:tc>
        <w:tc>
          <w:tcPr>
            <w:tcW w:type="dxa" w:w="1440"/>
            <w:noWrap/>
          </w:tcPr>
          <w:p>
            <w:r>
              <w:t>15</w:t>
            </w:r>
          </w:p>
        </w:tc>
        <w:tc>
          <w:tcPr>
            <w:tcW w:type="dxa" w:w="1440"/>
            <w:noWrap/>
          </w:tcPr>
          <w:p>
            <w:pPr>
              <w:jc w:val="left"/>
            </w:pPr>
            <w:r>
              <w:t>62,9 m³</w:t>
            </w:r>
          </w:p>
          <w:p>
            <w:pPr>
              <w:jc w:val="left"/>
            </w:pPr>
            <w:r>
              <w:t>(20 días, 64,5%)</w:t>
            </w:r>
          </w:p>
        </w:tc>
        <w:tc>
          <w:tcPr>
            <w:tcW w:type="dxa" w:w="1440"/>
            <w:noWrap/>
          </w:tcPr>
          <w:p>
            <w:pPr>
              <w:jc w:val="left"/>
            </w:pPr>
            <w:r>
              <w:t>0,0 m³</w:t>
            </w:r>
          </w:p>
          <w:p>
            <w:pPr>
              <w:jc w:val="left"/>
            </w:pPr>
            <w:r>
              <w:t>(0,0%)</w:t>
            </w:r>
          </w:p>
        </w:tc>
      </w:tr>
      <w:tr>
        <w:tc>
          <w:tcPr>
            <w:tcW w:type="dxa" w:w="1440"/>
            <w:noWrap/>
          </w:tcPr>
          <w:p>
            <w:r>
              <w:t>11</w:t>
            </w:r>
          </w:p>
        </w:tc>
        <w:tc>
          <w:tcPr>
            <w:tcW w:type="dxa" w:w="1440"/>
            <w:noWrap/>
          </w:tcPr>
          <w:p>
            <w:r>
              <w:t>Likankura</w:t>
            </w:r>
          </w:p>
        </w:tc>
        <w:tc>
          <w:tcPr>
            <w:tcW w:type="dxa" w:w="1440"/>
            <w:noWrap/>
          </w:tcPr>
          <w:p>
            <w:r>
              <w:t>325,5</w:t>
            </w:r>
          </w:p>
        </w:tc>
        <w:tc>
          <w:tcPr>
            <w:tcW w:type="dxa" w:w="1440"/>
            <w:noWrap/>
          </w:tcPr>
          <w:p>
            <w:r>
              <w:t>5</w:t>
            </w:r>
          </w:p>
        </w:tc>
        <w:tc>
          <w:tcPr>
            <w:tcW w:type="dxa" w:w="1440"/>
            <w:noWrap/>
          </w:tcPr>
          <w:p>
            <w:pPr>
              <w:jc w:val="left"/>
            </w:pPr>
            <w:r>
              <w:t>29,7 m³</w:t>
            </w:r>
          </w:p>
          <w:p>
            <w:pPr>
              <w:jc w:val="left"/>
            </w:pPr>
            <w:r>
              <w:t>(11 días, 35,5%)</w:t>
            </w:r>
          </w:p>
        </w:tc>
        <w:tc>
          <w:tcPr>
            <w:tcW w:type="dxa" w:w="1440"/>
            <w:noWrap/>
          </w:tcPr>
          <w:p>
            <w:pPr>
              <w:jc w:val="left"/>
            </w:pPr>
            <w:r>
              <w:t>0,0 m³</w:t>
            </w:r>
          </w:p>
          <w:p>
            <w:pPr>
              <w:jc w:val="left"/>
            </w:pPr>
            <w:r>
              <w:t>(0,0%)</w:t>
            </w:r>
          </w:p>
        </w:tc>
      </w:tr>
      <w:tr>
        <w:tc>
          <w:tcPr>
            <w:tcW w:type="dxa" w:w="1440"/>
            <w:noWrap/>
          </w:tcPr>
          <w:p>
            <w:r>
              <w:t>12</w:t>
            </w:r>
          </w:p>
        </w:tc>
        <w:tc>
          <w:tcPr>
            <w:tcW w:type="dxa" w:w="1440"/>
            <w:noWrap/>
          </w:tcPr>
          <w:p>
            <w:r>
              <w:t>Matilde Huici Navas</w:t>
            </w:r>
          </w:p>
        </w:tc>
        <w:tc>
          <w:tcPr>
            <w:tcW w:type="dxa" w:w="1440"/>
            <w:noWrap/>
          </w:tcPr>
          <w:p>
            <w:r>
              <w:t>152</w:t>
            </w:r>
          </w:p>
        </w:tc>
        <w:tc>
          <w:tcPr>
            <w:tcW w:type="dxa" w:w="1440"/>
            <w:noWrap/>
          </w:tcPr>
          <w:p>
            <w:r>
              <w:t>25</w:t>
            </w:r>
          </w:p>
        </w:tc>
        <w:tc>
          <w:tcPr>
            <w:tcW w:type="dxa" w:w="1440"/>
            <w:noWrap/>
          </w:tcPr>
          <w:p>
            <w:pPr>
              <w:jc w:val="left"/>
            </w:pPr>
            <w:r>
              <w:t>23,8 m³</w:t>
            </w:r>
          </w:p>
          <w:p>
            <w:pPr>
              <w:jc w:val="left"/>
            </w:pPr>
            <w:r>
              <w:t>(16 días, 51,6%)</w:t>
            </w:r>
          </w:p>
        </w:tc>
        <w:tc>
          <w:tcPr>
            <w:tcW w:type="dxa" w:w="1440"/>
            <w:noWrap/>
          </w:tcPr>
          <w:p>
            <w:pPr>
              <w:jc w:val="left"/>
            </w:pPr>
            <w:r>
              <w:t>0,0 m³</w:t>
            </w:r>
          </w:p>
          <w:p>
            <w:pPr>
              <w:jc w:val="left"/>
            </w:pPr>
            <w:r>
              <w:t>(0,0%)</w:t>
            </w:r>
          </w:p>
        </w:tc>
      </w:tr>
      <w:tr>
        <w:tc>
          <w:tcPr>
            <w:tcW w:type="dxa" w:w="1440"/>
            <w:noWrap/>
          </w:tcPr>
          <w:p>
            <w:r>
              <w:t>13</w:t>
            </w:r>
          </w:p>
        </w:tc>
        <w:tc>
          <w:tcPr>
            <w:tcW w:type="dxa" w:w="1440"/>
            <w:noWrap/>
          </w:tcPr>
          <w:p>
            <w:r>
              <w:t>Alicura</w:t>
            </w:r>
          </w:p>
        </w:tc>
        <w:tc>
          <w:tcPr>
            <w:tcW w:type="dxa" w:w="1440"/>
            <w:noWrap/>
          </w:tcPr>
          <w:p>
            <w:r>
              <w:t>145,6</w:t>
            </w:r>
          </w:p>
        </w:tc>
        <w:tc>
          <w:tcPr>
            <w:tcW w:type="dxa" w:w="1440"/>
            <w:noWrap/>
          </w:tcPr>
          <w:p>
            <w:r>
              <w:t>34</w:t>
            </w:r>
          </w:p>
        </w:tc>
        <w:tc>
          <w:tcPr>
            <w:tcW w:type="dxa" w:w="1440"/>
            <w:noWrap/>
          </w:tcPr>
          <w:p>
            <w:pPr>
              <w:jc w:val="left"/>
            </w:pPr>
            <w:r>
              <w:t>21,5 m³</w:t>
            </w:r>
          </w:p>
          <w:p>
            <w:pPr>
              <w:jc w:val="left"/>
            </w:pPr>
            <w:r>
              <w:t>(26 días, 83,9%)</w:t>
            </w:r>
          </w:p>
        </w:tc>
        <w:tc>
          <w:tcPr>
            <w:tcW w:type="dxa" w:w="1440"/>
            <w:noWrap/>
          </w:tcPr>
          <w:p>
            <w:pPr>
              <w:jc w:val="left"/>
            </w:pPr>
            <w:r>
              <w:t>0,0 m³</w:t>
            </w:r>
          </w:p>
          <w:p>
            <w:pPr>
              <w:jc w:val="left"/>
            </w:pPr>
            <w:r>
              <w:t>(0,0%)</w:t>
            </w:r>
          </w:p>
        </w:tc>
      </w:tr>
      <w:tr>
        <w:tc>
          <w:tcPr>
            <w:tcW w:type="dxa" w:w="1440"/>
            <w:noWrap/>
          </w:tcPr>
          <w:p>
            <w:r>
              <w:t>14</w:t>
            </w:r>
          </w:p>
        </w:tc>
        <w:tc>
          <w:tcPr>
            <w:tcW w:type="dxa" w:w="1440"/>
            <w:noWrap/>
          </w:tcPr>
          <w:p>
            <w:r>
              <w:t>Juan Pablo II</w:t>
            </w:r>
          </w:p>
        </w:tc>
        <w:tc>
          <w:tcPr>
            <w:tcW w:type="dxa" w:w="1440"/>
            <w:noWrap/>
          </w:tcPr>
          <w:p>
            <w:r>
              <w:t>116,3</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13.248,4</w:t>
            </w:r>
          </w:p>
        </w:tc>
        <w:tc>
          <w:tcPr>
            <w:tcW w:type="dxa" w:w="1440"/>
            <w:noWrap/>
            <w:shd w:val="clear" w:fill="FFE6E6"/>
          </w:tcPr>
          <w:p>
            <w:pPr>
              <w:jc w:val="left"/>
            </w:pPr>
            <w:r>
              <w:rPr>
                <w:b/>
                <w:color w:val="FF0000"/>
              </w:rPr>
              <w:t>172</w:t>
            </w:r>
          </w:p>
        </w:tc>
        <w:tc>
          <w:tcPr>
            <w:tcW w:type="dxa" w:w="1440"/>
            <w:noWrap/>
            <w:shd w:val="clear" w:fill="FFE6E6"/>
          </w:tcPr>
          <w:p>
            <w:pPr>
              <w:jc w:val="left"/>
            </w:pPr>
            <w:r>
              <w:rPr>
                <w:b/>
                <w:color w:val="FF0000"/>
              </w:rPr>
              <w:t>1.541,1 m³</w:t>
            </w:r>
          </w:p>
        </w:tc>
        <w:tc>
          <w:tcPr>
            <w:tcW w:type="dxa" w:w="1440"/>
            <w:noWrap/>
            <w:shd w:val="clear" w:fill="FFE6E6"/>
          </w:tcPr>
          <w:p>
            <w:pPr>
              <w:jc w:val="left"/>
            </w:pPr>
            <w:r>
              <w:rPr>
                <w:b/>
                <w:color w:val="FF0000"/>
              </w:rPr>
              <w:t>187,2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LIC. ANTONIO HERMIDA F (18-03-26):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8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Lic. Antonio Hermida F registró 22 alerta(s) durante 18 día(s) del periodo analizado. La periodicidad de las alertas es regular (más del 50% de los días).</w:t>
      </w:r>
    </w:p>
    <w:p/>
    <w:p>
      <w:pPr>
        <w:keepNext/>
        <w:widowControl/>
        <w:spacing w:after="60"/>
      </w:pPr>
      <w:r>
        <w:rPr>
          <w:b/>
          <w:color w:val="003366"/>
        </w:rPr>
        <w:t>DÍA CON MAYOR CONSUMO NOCTURNO - EDUARDO DE LA BARRA (29-03-26):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8_02.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Eduardo de la Barra registró 15 alerta(s) durante 11 día(s) del periodo analizado. La periodicidad de las alertas es intermitente (más del 20% de los días).</w:t>
      </w:r>
    </w:p>
    <w:p/>
    <w:p>
      <w:pPr>
        <w:keepNext/>
        <w:widowControl/>
        <w:spacing w:after="60"/>
      </w:pPr>
      <w:r>
        <w:rPr>
          <w:b/>
          <w:color w:val="003366"/>
        </w:rPr>
        <w:t>DÍA CON MAYOR CONSUMO NOCTURNO - CARLOS FERNANDEZ P. (31-03-26):</w:t>
      </w:r>
    </w:p>
    <w:p>
      <w:pPr>
        <w:keepNext/>
        <w:widowControl/>
        <w:spacing w:after="60"/>
        <w:jc w:val="center"/>
      </w:pPr>
      <w:r>
        <w:drawing>
          <wp:inline xmlns:a="http://schemas.openxmlformats.org/drawingml/2006/main" xmlns:pic="http://schemas.openxmlformats.org/drawingml/2006/picture">
            <wp:extent cx="5486400" cy="2704355"/>
            <wp:docPr id="5" name="Picture 5"/>
            <wp:cNvGraphicFramePr>
              <a:graphicFrameLocks noChangeAspect="1"/>
            </wp:cNvGraphicFramePr>
            <a:graphic>
              <a:graphicData uri="http://schemas.openxmlformats.org/drawingml/2006/picture">
                <pic:pic>
                  <pic:nvPicPr>
                    <pic:cNvPr id="0" name="chart_max_nocturnal_000008_03.png"/>
                    <pic:cNvPicPr/>
                  </pic:nvPicPr>
                  <pic:blipFill>
                    <a:blip r:embed="rId14"/>
                    <a:stretch>
                      <a:fillRect/>
                    </a:stretch>
                  </pic:blipFill>
                  <pic:spPr>
                    <a:xfrm>
                      <a:off x="0" y="0"/>
                      <a:ext cx="5486400" cy="2704355"/>
                    </a:xfrm>
                    <a:prstGeom prst="rect"/>
                  </pic:spPr>
                </pic:pic>
              </a:graphicData>
            </a:graphic>
          </wp:inline>
        </w:drawing>
      </w:r>
    </w:p>
    <w:p>
      <w:pPr>
        <w:jc w:val="both"/>
      </w:pPr>
      <w:r>
        <w:rPr>
          <w:color w:val="000000"/>
        </w:rPr>
        <w:t>El nodo Carlos Fernandez P. registró 25 alerta(s) durante 20 día(s) del periodo analizado. La periodicidad de las alertas es regular (más del 50% de los días). Se identificó una proyección de filtración de 187,2 m³ ($237.744), lo que indica un patrón de fuga constante durante el periodo.</w:t>
      </w:r>
    </w:p>
    <w:p/>
    <w:p>
      <w:pPr>
        <w:keepNext/>
        <w:widowControl/>
        <w:spacing w:after="60"/>
      </w:pPr>
      <w:r>
        <w:rPr>
          <w:b/>
          <w:color w:val="003366"/>
        </w:rPr>
        <w:t>DÍA CON MAYOR CONSUMO NOCTURNO - SANTA MARIA (22-03-26):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8_05.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Santa Maria registró 2 alerta(s) durante 2 día(s) del periodo analizado. La periodicidad de las alertas es puntual (menos del 20% de los días).</w:t>
      </w:r>
    </w:p>
    <w:p/>
    <w:p>
      <w:pPr>
        <w:keepNext/>
        <w:widowControl/>
        <w:spacing w:after="60"/>
      </w:pPr>
      <w:r>
        <w:rPr>
          <w:b/>
          <w:color w:val="003366"/>
        </w:rPr>
        <w:t>DÍA CON MAYOR CONSUMO NOCTURNO - ERASMO ESCALA (13-03-26):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8_07.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Erasmo Escala registró 10 alerta(s) durante 10 día(s) del periodo analizado. La periodicidad de las alertas es intermitente (más del 20% de los días).</w:t>
      </w:r>
    </w:p>
    <w:p/>
    <w:p>
      <w:pPr>
        <w:keepNext/>
        <w:widowControl/>
        <w:spacing w:after="60"/>
      </w:pPr>
      <w:r>
        <w:rPr>
          <w:b/>
          <w:color w:val="003366"/>
        </w:rPr>
        <w:t>DÍA CON MAYOR CONSUMO NOCTURNO - ALICURA (19-03-26):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8_08.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Alicura registró 34 alerta(s) durante 25 día(s) del periodo analizado. La periodicidad de las alertas es frecuente (más del 80% de los días).</w:t>
      </w:r>
    </w:p>
    <w:p/>
    <w:p>
      <w:pPr>
        <w:keepNext/>
        <w:widowControl/>
        <w:spacing w:after="60"/>
      </w:pPr>
      <w:r>
        <w:rPr>
          <w:b/>
          <w:color w:val="003366"/>
        </w:rPr>
        <w:t>DÍA CON MAYOR CONSUMO NOCTURNO - JUAN BAUTISTA PASTEN (19-03-26):</w:t>
      </w:r>
    </w:p>
    <w:p>
      <w:pPr>
        <w:keepNext/>
        <w:widowControl/>
        <w:spacing w:after="60"/>
        <w:jc w:val="center"/>
      </w:pPr>
      <w:r>
        <w:drawing>
          <wp:inline xmlns:a="http://schemas.openxmlformats.org/drawingml/2006/main" xmlns:pic="http://schemas.openxmlformats.org/drawingml/2006/picture">
            <wp:extent cx="5486400" cy="2704355"/>
            <wp:docPr id="9" name="Picture 9"/>
            <wp:cNvGraphicFramePr>
              <a:graphicFrameLocks noChangeAspect="1"/>
            </wp:cNvGraphicFramePr>
            <a:graphic>
              <a:graphicData uri="http://schemas.openxmlformats.org/drawingml/2006/picture">
                <pic:pic>
                  <pic:nvPicPr>
                    <pic:cNvPr id="0" name="chart_max_nocturnal_000008_09.png"/>
                    <pic:cNvPicPr/>
                  </pic:nvPicPr>
                  <pic:blipFill>
                    <a:blip r:embed="rId18"/>
                    <a:stretch>
                      <a:fillRect/>
                    </a:stretch>
                  </pic:blipFill>
                  <pic:spPr>
                    <a:xfrm>
                      <a:off x="0" y="0"/>
                      <a:ext cx="5486400" cy="2704355"/>
                    </a:xfrm>
                    <a:prstGeom prst="rect"/>
                  </pic:spPr>
                </pic:pic>
              </a:graphicData>
            </a:graphic>
          </wp:inline>
        </w:drawing>
      </w:r>
    </w:p>
    <w:p>
      <w:pPr>
        <w:jc w:val="both"/>
      </w:pPr>
      <w:r>
        <w:rPr>
          <w:color w:val="000000"/>
        </w:rPr>
        <w:t>El nodo Juan Bautista Pasten registró 18 alerta(s) durante 17 día(s) del periodo analizado. La periodicidad de las alertas es regular (más del 50% de los días).</w:t>
      </w:r>
    </w:p>
    <w:p/>
    <w:p>
      <w:pPr>
        <w:keepNext/>
        <w:widowControl/>
        <w:spacing w:after="60"/>
      </w:pPr>
      <w:r>
        <w:rPr>
          <w:b/>
          <w:color w:val="003366"/>
        </w:rPr>
        <w:t>DÍA CON MAYOR CONSUMO NOCTURNO - MATILDE HUICI NAVAS (17-03-26):</w:t>
      </w:r>
    </w:p>
    <w:p>
      <w:pPr>
        <w:keepNext/>
        <w:widowControl/>
        <w:spacing w:after="60"/>
        <w:jc w:val="center"/>
      </w:pPr>
      <w:r>
        <w:drawing>
          <wp:inline xmlns:a="http://schemas.openxmlformats.org/drawingml/2006/main" xmlns:pic="http://schemas.openxmlformats.org/drawingml/2006/picture">
            <wp:extent cx="5486400" cy="2702533"/>
            <wp:docPr id="10" name="Picture 10"/>
            <wp:cNvGraphicFramePr>
              <a:graphicFrameLocks noChangeAspect="1"/>
            </wp:cNvGraphicFramePr>
            <a:graphic>
              <a:graphicData uri="http://schemas.openxmlformats.org/drawingml/2006/picture">
                <pic:pic>
                  <pic:nvPicPr>
                    <pic:cNvPr id="0" name="chart_max_nocturnal_000008_10.png"/>
                    <pic:cNvPicPr/>
                  </pic:nvPicPr>
                  <pic:blipFill>
                    <a:blip r:embed="rId19"/>
                    <a:stretch>
                      <a:fillRect/>
                    </a:stretch>
                  </pic:blipFill>
                  <pic:spPr>
                    <a:xfrm>
                      <a:off x="0" y="0"/>
                      <a:ext cx="5486400" cy="2702533"/>
                    </a:xfrm>
                    <a:prstGeom prst="rect"/>
                  </pic:spPr>
                </pic:pic>
              </a:graphicData>
            </a:graphic>
          </wp:inline>
        </w:drawing>
      </w:r>
    </w:p>
    <w:p>
      <w:pPr>
        <w:jc w:val="both"/>
      </w:pPr>
      <w:r>
        <w:rPr>
          <w:color w:val="000000"/>
        </w:rPr>
        <w:t>El nodo Matilde Huici Navas registró 25 alerta(s) durante 20 día(s) del periodo analizado. La periodicidad de las alertas es regular (más del 50% de los días).</w:t>
      </w:r>
    </w:p>
    <w:p/>
    <w:p>
      <w:pPr>
        <w:keepNext/>
        <w:widowControl/>
        <w:spacing w:after="60"/>
      </w:pPr>
      <w:r>
        <w:rPr>
          <w:b/>
          <w:color w:val="003366"/>
        </w:rPr>
        <w:t>DÍA CON MAYOR CONSUMO NOCTURNO - CE VALLE HERMOSO (02-03-26):</w:t>
      </w:r>
    </w:p>
    <w:p>
      <w:pPr>
        <w:keepNext/>
        <w:widowControl/>
        <w:spacing w:after="60"/>
        <w:jc w:val="center"/>
      </w:pPr>
      <w:r>
        <w:drawing>
          <wp:inline xmlns:a="http://schemas.openxmlformats.org/drawingml/2006/main" xmlns:pic="http://schemas.openxmlformats.org/drawingml/2006/picture">
            <wp:extent cx="5486400" cy="2702533"/>
            <wp:docPr id="11" name="Picture 11"/>
            <wp:cNvGraphicFramePr>
              <a:graphicFrameLocks noChangeAspect="1"/>
            </wp:cNvGraphicFramePr>
            <a:graphic>
              <a:graphicData uri="http://schemas.openxmlformats.org/drawingml/2006/picture">
                <pic:pic>
                  <pic:nvPicPr>
                    <pic:cNvPr id="0" name="chart_max_nocturnal_000008_11.png"/>
                    <pic:cNvPicPr/>
                  </pic:nvPicPr>
                  <pic:blipFill>
                    <a:blip r:embed="rId20"/>
                    <a:stretch>
                      <a:fillRect/>
                    </a:stretch>
                  </pic:blipFill>
                  <pic:spPr>
                    <a:xfrm>
                      <a:off x="0" y="0"/>
                      <a:ext cx="5486400" cy="2702533"/>
                    </a:xfrm>
                    <a:prstGeom prst="rect"/>
                  </pic:spPr>
                </pic:pic>
              </a:graphicData>
            </a:graphic>
          </wp:inline>
        </w:drawing>
      </w:r>
    </w:p>
    <w:p>
      <w:pPr>
        <w:jc w:val="both"/>
      </w:pPr>
      <w:r>
        <w:rPr>
          <w:color w:val="000000"/>
        </w:rPr>
        <w:t>El nodo CE Valle Hermoso registró 1 alerta(s) durante 1 día(s) del periodo analizado. La periodicidad de las alertas es puntual (menos del 20% de los días).</w:t>
      </w:r>
    </w:p>
    <w:p/>
    <w:p>
      <w:pPr>
        <w:keepNext/>
        <w:widowControl/>
        <w:spacing w:after="60"/>
      </w:pPr>
      <w:r>
        <w:rPr>
          <w:b/>
          <w:color w:val="003366"/>
        </w:rPr>
        <w:t>DÍA CON MAYOR CONSUMO NOCTURNO - LIKANKURA (18-03-26):</w:t>
      </w:r>
    </w:p>
    <w:p>
      <w:pPr>
        <w:keepNext/>
        <w:widowControl/>
        <w:spacing w:after="60"/>
        <w:jc w:val="center"/>
      </w:pPr>
      <w:r>
        <w:drawing>
          <wp:inline xmlns:a="http://schemas.openxmlformats.org/drawingml/2006/main" xmlns:pic="http://schemas.openxmlformats.org/drawingml/2006/picture">
            <wp:extent cx="5486400" cy="2702533"/>
            <wp:docPr id="12" name="Picture 12"/>
            <wp:cNvGraphicFramePr>
              <a:graphicFrameLocks noChangeAspect="1"/>
            </wp:cNvGraphicFramePr>
            <a:graphic>
              <a:graphicData uri="http://schemas.openxmlformats.org/drawingml/2006/picture">
                <pic:pic>
                  <pic:nvPicPr>
                    <pic:cNvPr id="0" name="chart_max_nocturnal_000008_13.png"/>
                    <pic:cNvPicPr/>
                  </pic:nvPicPr>
                  <pic:blipFill>
                    <a:blip r:embed="rId21"/>
                    <a:stretch>
                      <a:fillRect/>
                    </a:stretch>
                  </pic:blipFill>
                  <pic:spPr>
                    <a:xfrm>
                      <a:off x="0" y="0"/>
                      <a:ext cx="5486400" cy="2702533"/>
                    </a:xfrm>
                    <a:prstGeom prst="rect"/>
                  </pic:spPr>
                </pic:pic>
              </a:graphicData>
            </a:graphic>
          </wp:inline>
        </w:drawing>
      </w:r>
    </w:p>
    <w:p>
      <w:pPr>
        <w:jc w:val="both"/>
      </w:pPr>
      <w:r>
        <w:rPr>
          <w:color w:val="000000"/>
        </w:rPr>
        <w:t>El nodo Likankura registró 5 alerta(s) durante 5 día(s) del periodo analizado. La periodicidad de las alertas es puntual (menos del 20% de los días).</w:t>
      </w:r>
    </w:p>
    <w:p/>
    <w:p>
      <w:pPr>
        <w:keepNext/>
        <w:widowControl/>
        <w:spacing w:after="60"/>
      </w:pPr>
      <w:r>
        <w:rPr>
          <w:b/>
          <w:color w:val="003366"/>
        </w:rPr>
        <w:t>COMPARACIÓN MENSUAL: CONSUMO NOCTURNO VS CONSUMO EFECTIVO:</w:t>
      </w:r>
    </w:p>
    <w:p>
      <w:pPr>
        <w:jc w:val="both"/>
      </w:pPr>
      <w:r>
        <w:rPr>
          <w:color w:val="000000"/>
        </w:rPr>
        <w:t>La comparación mensual proyecta los valores diarios a un mes completo (30 días). La proyección mensual de consumo nocturno se obtiene multiplicando la proyección diaria de consumo nocturno agregada por 30 días, mientras que el consumo efectivo mensual se calcula multiplicando el consumo efectivo promedio diario agregado por 30 días. Esta comparación permite visualizar el impacto económico de los consumos nocturnos en un periodo mensual, valorizando el consumo nocturno en pesos chilenos según el precio por metro cúbico del punto.</w:t>
      </w:r>
    </w:p>
    <w:p/>
    <w:p>
      <w:pPr>
        <w:keepNext/>
        <w:widowControl/>
        <w:spacing w:after="60"/>
        <w:jc w:val="center"/>
      </w:pPr>
      <w:r>
        <w:drawing>
          <wp:inline xmlns:a="http://schemas.openxmlformats.org/drawingml/2006/main" xmlns:pic="http://schemas.openxmlformats.org/drawingml/2006/picture">
            <wp:extent cx="3657600" cy="2228619"/>
            <wp:docPr id="13" name="Picture 13"/>
            <wp:cNvGraphicFramePr>
              <a:graphicFrameLocks noChangeAspect="1"/>
            </wp:cNvGraphicFramePr>
            <a:graphic>
              <a:graphicData uri="http://schemas.openxmlformats.org/drawingml/2006/picture">
                <pic:pic>
                  <pic:nvPicPr>
                    <pic:cNvPr id="0" name="chart_comparacion_mensual_agregada.png"/>
                    <pic:cNvPicPr/>
                  </pic:nvPicPr>
                  <pic:blipFill>
                    <a:blip r:embed="rId22"/>
                    <a:stretch>
                      <a:fillRect/>
                    </a:stretch>
                  </pic:blipFill>
                  <pic:spPr>
                    <a:xfrm>
                      <a:off x="0" y="0"/>
                      <a:ext cx="3657600" cy="2228619"/>
                    </a:xfrm>
                    <a:prstGeom prst="rect"/>
                  </pic:spPr>
                </pic:pic>
              </a:graphicData>
            </a:graphic>
          </wp:inline>
        </w:drawing>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una proyección de fuga en el punto de monitoreo Carlos Fernandez P., con un volumen proyectado de 187,2 m³ (37,1% del consumo total del punto).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