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CORMUP</w:t>
      </w:r>
    </w:p>
    <w:p>
      <w:pPr>
        <w:jc w:val="center"/>
      </w:pPr>
      <w:r>
        <w:t>MONITOREO WES</w:t>
        <w:br/>
        <w:t>Análisis consolidado de 14 puntos de monitoreo</w:t>
        <w:br/>
        <w:t>Rango: 01-04-26 - 30-04-26</w:t>
        <w:br/>
        <w:t>Generado: 05-05-26 21:35</w:t>
      </w:r>
    </w:p>
    <w:p>
      <w:pPr>
        <w:pStyle w:val="Heading1"/>
        <w:keepNext/>
        <w:widowControl/>
        <w:spacing w:after="60"/>
      </w:pPr>
      <w:r>
        <w:rPr>
          <w:b/>
          <w:color w:val="003366"/>
        </w:rPr>
        <w:t>RESUMEN EJECUTIVO AGREGADO</w:t>
      </w:r>
    </w:p>
    <w:p>
      <w:r>
        <w:t>Puntos de monitoreo analizados: 14.</w:t>
        <w:br/>
      </w:r>
      <w:r>
        <w:t>Consumo total agregado: 12.483,9 m³.</w:t>
        <w:br/>
      </w:r>
      <w:r>
        <w:t>Consumo promedio por punto: 891,7 m³.</w:t>
        <w:br/>
      </w:r>
      <w:r>
        <w:t>Total de alertas registradas: 123.</w:t>
        <w:br/>
      </w:r>
      <w:r>
        <w:t>Promedio de alerta agregado: 2,5 m³/h.</w:t>
        <w:br/>
      </w:r>
      <w:r>
        <w:t>Proyección diaria de consumo nocturno agregada: 59,3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El análisis comparativo revela que el punto con mayor consumo es Tobalaba, con un total de 2.873,5 m³ durante el periodo analizado. Este valor representa un 222,2% por encima del promedio (891,7 m³ por punto), indicando una demanda significativamente superior a la media. Por otro lado, el punto con menor consumo es Alicura, con un total de 46,2 m³. Este valor representa un 94,8% por debajo del promedio, mostrando una demanda significativamente inferior. La diferencia entre el punto de mayor y menor consumo es considerable, siendo el consumo máximo aproximadamente 62,3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7"/>
        <w:gridCol w:w="1337"/>
        <w:gridCol w:w="1094"/>
        <w:gridCol w:w="973"/>
        <w:gridCol w:w="1520"/>
        <w:gridCol w:w="1459"/>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Tobalaba</w:t>
            </w:r>
          </w:p>
        </w:tc>
        <w:tc>
          <w:tcPr>
            <w:tcW w:type="dxa" w:w="1440"/>
            <w:noWrap/>
          </w:tcPr>
          <w:p>
            <w:r>
              <w:t>2.873,5</w:t>
            </w:r>
          </w:p>
        </w:tc>
        <w:tc>
          <w:tcPr>
            <w:tcW w:type="dxa" w:w="1440"/>
            <w:noWrap/>
          </w:tcPr>
          <w:p>
            <w:r>
              <w:t>0</w:t>
            </w:r>
          </w:p>
        </w:tc>
        <w:tc>
          <w:tcPr>
            <w:tcW w:type="dxa" w:w="1440"/>
            <w:noWrap/>
          </w:tcPr>
          <w:p>
            <w:pPr>
              <w:jc w:val="left"/>
            </w:pPr>
            <w:r>
              <w:t>672,4 m³</w:t>
            </w:r>
          </w:p>
          <w:p>
            <w:pPr>
              <w:jc w:val="left"/>
            </w:pPr>
            <w:r>
              <w:t>(27 días, 90%)</w:t>
            </w:r>
          </w:p>
        </w:tc>
        <w:tc>
          <w:tcPr>
            <w:tcW w:type="dxa" w:w="1440"/>
            <w:noWrap/>
          </w:tcPr>
          <w:p>
            <w:pPr>
              <w:jc w:val="left"/>
            </w:pPr>
            <w:r>
              <w:t>2.305,3 m³</w:t>
            </w:r>
          </w:p>
          <w:p>
            <w:pPr>
              <w:jc w:val="left"/>
            </w:pPr>
            <w:r>
              <w:t>(80,2%)</w:t>
            </w:r>
          </w:p>
        </w:tc>
      </w:tr>
      <w:tr>
        <w:tc>
          <w:tcPr>
            <w:tcW w:type="dxa" w:w="1440"/>
            <w:noWrap/>
          </w:tcPr>
          <w:p>
            <w:r>
              <w:t>2</w:t>
            </w:r>
          </w:p>
        </w:tc>
        <w:tc>
          <w:tcPr>
            <w:tcW w:type="dxa" w:w="1440"/>
            <w:noWrap/>
          </w:tcPr>
          <w:p>
            <w:r>
              <w:t>CE Valle Hermoso</w:t>
            </w:r>
          </w:p>
        </w:tc>
        <w:tc>
          <w:tcPr>
            <w:tcW w:type="dxa" w:w="1440"/>
            <w:noWrap/>
          </w:tcPr>
          <w:p>
            <w:r>
              <w:t>2.210,7</w:t>
            </w:r>
          </w:p>
        </w:tc>
        <w:tc>
          <w:tcPr>
            <w:tcW w:type="dxa" w:w="1440"/>
            <w:noWrap/>
          </w:tcPr>
          <w:p>
            <w:r>
              <w:t>6</w:t>
            </w:r>
          </w:p>
        </w:tc>
        <w:tc>
          <w:tcPr>
            <w:tcW w:type="dxa" w:w="1440"/>
            <w:noWrap/>
          </w:tcPr>
          <w:p>
            <w:pPr>
              <w:jc w:val="left"/>
            </w:pPr>
            <w:r>
              <w:t>429,2 m³</w:t>
            </w:r>
          </w:p>
          <w:p>
            <w:pPr>
              <w:jc w:val="left"/>
            </w:pPr>
            <w:r>
              <w:t>(22 días, 73,3%)</w:t>
            </w:r>
          </w:p>
        </w:tc>
        <w:tc>
          <w:tcPr>
            <w:tcW w:type="dxa" w:w="1440"/>
            <w:noWrap/>
          </w:tcPr>
          <w:p>
            <w:pPr>
              <w:jc w:val="left"/>
            </w:pPr>
            <w:r>
              <w:t>0,0 m³</w:t>
            </w:r>
          </w:p>
          <w:p>
            <w:pPr>
              <w:jc w:val="left"/>
            </w:pPr>
            <w:r>
              <w:t>(0,0%)</w:t>
            </w:r>
          </w:p>
        </w:tc>
      </w:tr>
      <w:tr>
        <w:tc>
          <w:tcPr>
            <w:tcW w:type="dxa" w:w="1440"/>
            <w:noWrap/>
          </w:tcPr>
          <w:p>
            <w:r>
              <w:t>3</w:t>
            </w:r>
          </w:p>
        </w:tc>
        <w:tc>
          <w:tcPr>
            <w:tcW w:type="dxa" w:w="1440"/>
            <w:noWrap/>
          </w:tcPr>
          <w:p>
            <w:r>
              <w:t>Unión Nacional Árabe</w:t>
            </w:r>
          </w:p>
        </w:tc>
        <w:tc>
          <w:tcPr>
            <w:tcW w:type="dxa" w:w="1440"/>
            <w:noWrap/>
          </w:tcPr>
          <w:p>
            <w:r>
              <w:t>1.462,2</w:t>
            </w:r>
          </w:p>
        </w:tc>
        <w:tc>
          <w:tcPr>
            <w:tcW w:type="dxa" w:w="1440"/>
            <w:noWrap/>
          </w:tcPr>
          <w:p>
            <w:r>
              <w:t>6</w:t>
            </w:r>
          </w:p>
        </w:tc>
        <w:tc>
          <w:tcPr>
            <w:tcW w:type="dxa" w:w="1440"/>
            <w:noWrap/>
          </w:tcPr>
          <w:p>
            <w:pPr>
              <w:jc w:val="left"/>
            </w:pPr>
            <w:r>
              <w:t>344,3 m³</w:t>
            </w:r>
          </w:p>
          <w:p>
            <w:pPr>
              <w:jc w:val="left"/>
            </w:pPr>
            <w:r>
              <w:t>(30 días, 100%)</w:t>
            </w:r>
          </w:p>
        </w:tc>
        <w:tc>
          <w:tcPr>
            <w:tcW w:type="dxa" w:w="1440"/>
            <w:noWrap/>
          </w:tcPr>
          <w:p>
            <w:pPr>
              <w:jc w:val="left"/>
            </w:pPr>
            <w:r>
              <w:t>1.180,6 m³</w:t>
            </w:r>
          </w:p>
          <w:p>
            <w:pPr>
              <w:jc w:val="left"/>
            </w:pPr>
            <w:r>
              <w:t>(80,7%)</w:t>
            </w:r>
          </w:p>
        </w:tc>
      </w:tr>
      <w:tr>
        <w:tc>
          <w:tcPr>
            <w:tcW w:type="dxa" w:w="1440"/>
            <w:noWrap/>
          </w:tcPr>
          <w:p>
            <w:r>
              <w:t>4</w:t>
            </w:r>
          </w:p>
        </w:tc>
        <w:tc>
          <w:tcPr>
            <w:tcW w:type="dxa" w:w="1440"/>
            <w:noWrap/>
          </w:tcPr>
          <w:p>
            <w:r>
              <w:t>Luis Arrieta Caña</w:t>
            </w:r>
          </w:p>
        </w:tc>
        <w:tc>
          <w:tcPr>
            <w:tcW w:type="dxa" w:w="1440"/>
            <w:noWrap/>
          </w:tcPr>
          <w:p>
            <w:r>
              <w:t>1.380,2</w:t>
            </w:r>
          </w:p>
        </w:tc>
        <w:tc>
          <w:tcPr>
            <w:tcW w:type="dxa" w:w="1440"/>
            <w:noWrap/>
          </w:tcPr>
          <w:p>
            <w:r>
              <w:t>1</w:t>
            </w:r>
          </w:p>
        </w:tc>
        <w:tc>
          <w:tcPr>
            <w:tcW w:type="dxa" w:w="1440"/>
            <w:noWrap/>
          </w:tcPr>
          <w:p>
            <w:pPr>
              <w:jc w:val="left"/>
            </w:pPr>
            <w:r>
              <w:t>356,1 m³</w:t>
            </w:r>
          </w:p>
          <w:p>
            <w:pPr>
              <w:jc w:val="left"/>
            </w:pPr>
            <w:r>
              <w:t>(22 días, 73,3%)</w:t>
            </w:r>
          </w:p>
        </w:tc>
        <w:tc>
          <w:tcPr>
            <w:tcW w:type="dxa" w:w="1440"/>
            <w:noWrap/>
          </w:tcPr>
          <w:p>
            <w:pPr>
              <w:jc w:val="left"/>
            </w:pPr>
            <w:r>
              <w:t>0,0 m³</w:t>
            </w:r>
          </w:p>
          <w:p>
            <w:pPr>
              <w:jc w:val="left"/>
            </w:pPr>
            <w:r>
              <w:t>(0,0%)</w:t>
            </w:r>
          </w:p>
        </w:tc>
      </w:tr>
      <w:tr>
        <w:tc>
          <w:tcPr>
            <w:tcW w:type="dxa" w:w="1440"/>
            <w:noWrap/>
          </w:tcPr>
          <w:p>
            <w:r>
              <w:t>5</w:t>
            </w:r>
          </w:p>
        </w:tc>
        <w:tc>
          <w:tcPr>
            <w:tcW w:type="dxa" w:w="1440"/>
            <w:noWrap/>
          </w:tcPr>
          <w:p>
            <w:r>
              <w:t>Lic. Antonio Hermida F</w:t>
            </w:r>
          </w:p>
        </w:tc>
        <w:tc>
          <w:tcPr>
            <w:tcW w:type="dxa" w:w="1440"/>
            <w:noWrap/>
          </w:tcPr>
          <w:p>
            <w:r>
              <w:t>912,1</w:t>
            </w:r>
          </w:p>
        </w:tc>
        <w:tc>
          <w:tcPr>
            <w:tcW w:type="dxa" w:w="1440"/>
            <w:noWrap/>
          </w:tcPr>
          <w:p>
            <w:r>
              <w:t>7</w:t>
            </w:r>
          </w:p>
        </w:tc>
        <w:tc>
          <w:tcPr>
            <w:tcW w:type="dxa" w:w="1440"/>
            <w:noWrap/>
          </w:tcPr>
          <w:p>
            <w:pPr>
              <w:jc w:val="left"/>
            </w:pPr>
            <w:r>
              <w:t>167,1 m³</w:t>
            </w:r>
          </w:p>
          <w:p>
            <w:pPr>
              <w:jc w:val="left"/>
            </w:pPr>
            <w:r>
              <w:t>(25 días, 83,3%)</w:t>
            </w:r>
          </w:p>
        </w:tc>
        <w:tc>
          <w:tcPr>
            <w:tcW w:type="dxa" w:w="1440"/>
            <w:noWrap/>
          </w:tcPr>
          <w:p>
            <w:pPr>
              <w:jc w:val="left"/>
            </w:pPr>
            <w:r>
              <w:t>573 m³</w:t>
            </w:r>
          </w:p>
          <w:p>
            <w:pPr>
              <w:jc w:val="left"/>
            </w:pPr>
            <w:r>
              <w:t>(62,8%)</w:t>
            </w:r>
          </w:p>
        </w:tc>
      </w:tr>
      <w:tr>
        <w:tc>
          <w:tcPr>
            <w:tcW w:type="dxa" w:w="1440"/>
            <w:noWrap/>
          </w:tcPr>
          <w:p>
            <w:r>
              <w:t>6</w:t>
            </w:r>
          </w:p>
        </w:tc>
        <w:tc>
          <w:tcPr>
            <w:tcW w:type="dxa" w:w="1440"/>
            <w:noWrap/>
          </w:tcPr>
          <w:p>
            <w:r>
              <w:t>Juan Bautista Pasten</w:t>
            </w:r>
          </w:p>
        </w:tc>
        <w:tc>
          <w:tcPr>
            <w:tcW w:type="dxa" w:w="1440"/>
            <w:noWrap/>
          </w:tcPr>
          <w:p>
            <w:r>
              <w:t>863,7</w:t>
            </w:r>
          </w:p>
        </w:tc>
        <w:tc>
          <w:tcPr>
            <w:tcW w:type="dxa" w:w="1440"/>
            <w:noWrap/>
          </w:tcPr>
          <w:p>
            <w:r>
              <w:t>13</w:t>
            </w:r>
          </w:p>
        </w:tc>
        <w:tc>
          <w:tcPr>
            <w:tcW w:type="dxa" w:w="1440"/>
            <w:noWrap/>
          </w:tcPr>
          <w:p>
            <w:pPr>
              <w:jc w:val="left"/>
            </w:pPr>
            <w:r>
              <w:t>151,4 m³</w:t>
            </w:r>
          </w:p>
          <w:p>
            <w:pPr>
              <w:jc w:val="left"/>
            </w:pPr>
            <w:r>
              <w:t>(25 días, 83,3%)</w:t>
            </w:r>
          </w:p>
        </w:tc>
        <w:tc>
          <w:tcPr>
            <w:tcW w:type="dxa" w:w="1440"/>
            <w:noWrap/>
          </w:tcPr>
          <w:p>
            <w:pPr>
              <w:jc w:val="left"/>
            </w:pPr>
            <w:r>
              <w:t>519,1 m³</w:t>
            </w:r>
          </w:p>
          <w:p>
            <w:pPr>
              <w:jc w:val="left"/>
            </w:pPr>
            <w:r>
              <w:t>(60,1%)</w:t>
            </w:r>
          </w:p>
        </w:tc>
      </w:tr>
      <w:tr>
        <w:tc>
          <w:tcPr>
            <w:tcW w:type="dxa" w:w="1440"/>
            <w:noWrap/>
          </w:tcPr>
          <w:p>
            <w:r>
              <w:t>7</w:t>
            </w:r>
          </w:p>
        </w:tc>
        <w:tc>
          <w:tcPr>
            <w:tcW w:type="dxa" w:w="1440"/>
            <w:noWrap/>
          </w:tcPr>
          <w:p>
            <w:r>
              <w:t>Eduardo de la Barra</w:t>
            </w:r>
          </w:p>
        </w:tc>
        <w:tc>
          <w:tcPr>
            <w:tcW w:type="dxa" w:w="1440"/>
            <w:noWrap/>
          </w:tcPr>
          <w:p>
            <w:r>
              <w:t>783,5</w:t>
            </w:r>
          </w:p>
        </w:tc>
        <w:tc>
          <w:tcPr>
            <w:tcW w:type="dxa" w:w="1440"/>
            <w:noWrap/>
          </w:tcPr>
          <w:p>
            <w:r>
              <w:t>22</w:t>
            </w:r>
          </w:p>
        </w:tc>
        <w:tc>
          <w:tcPr>
            <w:tcW w:type="dxa" w:w="1440"/>
            <w:noWrap/>
          </w:tcPr>
          <w:p>
            <w:pPr>
              <w:jc w:val="left"/>
            </w:pPr>
            <w:r>
              <w:t>196,5 m³</w:t>
            </w:r>
          </w:p>
          <w:p>
            <w:pPr>
              <w:jc w:val="left"/>
            </w:pPr>
            <w:r>
              <w:t>(30 días, 100%)</w:t>
            </w:r>
          </w:p>
        </w:tc>
        <w:tc>
          <w:tcPr>
            <w:tcW w:type="dxa" w:w="1440"/>
            <w:noWrap/>
          </w:tcPr>
          <w:p>
            <w:pPr>
              <w:jc w:val="left"/>
            </w:pPr>
            <w:r>
              <w:t>673,7 m³</w:t>
            </w:r>
          </w:p>
          <w:p>
            <w:pPr>
              <w:jc w:val="left"/>
            </w:pPr>
            <w:r>
              <w:t>(86%)</w:t>
            </w:r>
          </w:p>
        </w:tc>
      </w:tr>
      <w:tr>
        <w:tc>
          <w:tcPr>
            <w:tcW w:type="dxa" w:w="1440"/>
            <w:noWrap/>
          </w:tcPr>
          <w:p>
            <w:r>
              <w:t>8</w:t>
            </w:r>
          </w:p>
        </w:tc>
        <w:tc>
          <w:tcPr>
            <w:tcW w:type="dxa" w:w="1440"/>
            <w:noWrap/>
          </w:tcPr>
          <w:p>
            <w:r>
              <w:t>Carlos Fernandez P.</w:t>
            </w:r>
          </w:p>
        </w:tc>
        <w:tc>
          <w:tcPr>
            <w:tcW w:type="dxa" w:w="1440"/>
            <w:noWrap/>
          </w:tcPr>
          <w:p>
            <w:r>
              <w:t>622,6</w:t>
            </w:r>
          </w:p>
        </w:tc>
        <w:tc>
          <w:tcPr>
            <w:tcW w:type="dxa" w:w="1440"/>
            <w:noWrap/>
          </w:tcPr>
          <w:p>
            <w:r>
              <w:t>25</w:t>
            </w:r>
          </w:p>
        </w:tc>
        <w:tc>
          <w:tcPr>
            <w:tcW w:type="dxa" w:w="1440"/>
            <w:noWrap/>
          </w:tcPr>
          <w:p>
            <w:pPr>
              <w:jc w:val="left"/>
            </w:pPr>
            <w:r>
              <w:t>127,5 m³</w:t>
            </w:r>
          </w:p>
          <w:p>
            <w:pPr>
              <w:jc w:val="left"/>
            </w:pPr>
            <w:r>
              <w:t>(30 días, 100%)</w:t>
            </w:r>
          </w:p>
        </w:tc>
        <w:tc>
          <w:tcPr>
            <w:tcW w:type="dxa" w:w="1440"/>
            <w:noWrap/>
          </w:tcPr>
          <w:p>
            <w:pPr>
              <w:jc w:val="left"/>
            </w:pPr>
            <w:r>
              <w:t>437 m³</w:t>
            </w:r>
          </w:p>
          <w:p>
            <w:pPr>
              <w:jc w:val="left"/>
            </w:pPr>
            <w:r>
              <w:t>(70,2%)</w:t>
            </w:r>
          </w:p>
        </w:tc>
      </w:tr>
      <w:tr>
        <w:tc>
          <w:tcPr>
            <w:tcW w:type="dxa" w:w="1440"/>
            <w:noWrap/>
          </w:tcPr>
          <w:p>
            <w:r>
              <w:t>9</w:t>
            </w:r>
          </w:p>
        </w:tc>
        <w:tc>
          <w:tcPr>
            <w:tcW w:type="dxa" w:w="1440"/>
            <w:noWrap/>
          </w:tcPr>
          <w:p>
            <w:r>
              <w:t>Santa Maria</w:t>
            </w:r>
          </w:p>
        </w:tc>
        <w:tc>
          <w:tcPr>
            <w:tcW w:type="dxa" w:w="1440"/>
            <w:noWrap/>
          </w:tcPr>
          <w:p>
            <w:r>
              <w:t>489,7</w:t>
            </w:r>
          </w:p>
        </w:tc>
        <w:tc>
          <w:tcPr>
            <w:tcW w:type="dxa" w:w="1440"/>
            <w:noWrap/>
          </w:tcPr>
          <w:p>
            <w:r>
              <w:t>0</w:t>
            </w:r>
          </w:p>
        </w:tc>
        <w:tc>
          <w:tcPr>
            <w:tcW w:type="dxa" w:w="1440"/>
            <w:noWrap/>
          </w:tcPr>
          <w:p>
            <w:pPr>
              <w:jc w:val="left"/>
            </w:pPr>
            <w:r>
              <w:t>88,5 m³</w:t>
            </w:r>
          </w:p>
          <w:p>
            <w:pPr>
              <w:jc w:val="left"/>
            </w:pPr>
            <w:r>
              <w:t>(26 días, 86,7%)</w:t>
            </w:r>
          </w:p>
        </w:tc>
        <w:tc>
          <w:tcPr>
            <w:tcW w:type="dxa" w:w="1440"/>
            <w:noWrap/>
          </w:tcPr>
          <w:p>
            <w:pPr>
              <w:jc w:val="left"/>
            </w:pPr>
            <w:r>
              <w:t>303,6 m³</w:t>
            </w:r>
          </w:p>
          <w:p>
            <w:pPr>
              <w:jc w:val="left"/>
            </w:pPr>
            <w:r>
              <w:t>(62%)</w:t>
            </w:r>
          </w:p>
        </w:tc>
      </w:tr>
      <w:tr>
        <w:tc>
          <w:tcPr>
            <w:tcW w:type="dxa" w:w="1440"/>
            <w:noWrap/>
          </w:tcPr>
          <w:p>
            <w:r>
              <w:t>10</w:t>
            </w:r>
          </w:p>
        </w:tc>
        <w:tc>
          <w:tcPr>
            <w:tcW w:type="dxa" w:w="1440"/>
            <w:noWrap/>
          </w:tcPr>
          <w:p>
            <w:r>
              <w:t>Erasmo Escala</w:t>
            </w:r>
          </w:p>
        </w:tc>
        <w:tc>
          <w:tcPr>
            <w:tcW w:type="dxa" w:w="1440"/>
            <w:noWrap/>
          </w:tcPr>
          <w:p>
            <w:r>
              <w:t>284,6</w:t>
            </w:r>
          </w:p>
        </w:tc>
        <w:tc>
          <w:tcPr>
            <w:tcW w:type="dxa" w:w="1440"/>
            <w:noWrap/>
          </w:tcPr>
          <w:p>
            <w:r>
              <w:t>5</w:t>
            </w:r>
          </w:p>
        </w:tc>
        <w:tc>
          <w:tcPr>
            <w:tcW w:type="dxa" w:w="1440"/>
            <w:noWrap/>
          </w:tcPr>
          <w:p>
            <w:pPr>
              <w:jc w:val="left"/>
            </w:pPr>
            <w:r>
              <w:t>45 m³</w:t>
            </w:r>
          </w:p>
          <w:p>
            <w:pPr>
              <w:jc w:val="left"/>
            </w:pPr>
            <w:r>
              <w:t>(25 días, 83,3%)</w:t>
            </w:r>
          </w:p>
        </w:tc>
        <w:tc>
          <w:tcPr>
            <w:tcW w:type="dxa" w:w="1440"/>
            <w:noWrap/>
          </w:tcPr>
          <w:p>
            <w:pPr>
              <w:jc w:val="left"/>
            </w:pPr>
            <w:r>
              <w:t>154,4 m³</w:t>
            </w:r>
          </w:p>
          <w:p>
            <w:pPr>
              <w:jc w:val="left"/>
            </w:pPr>
            <w:r>
              <w:t>(54,3%)</w:t>
            </w:r>
          </w:p>
        </w:tc>
      </w:tr>
      <w:tr>
        <w:tc>
          <w:tcPr>
            <w:tcW w:type="dxa" w:w="1440"/>
            <w:noWrap/>
          </w:tcPr>
          <w:p>
            <w:r>
              <w:t>11</w:t>
            </w:r>
          </w:p>
        </w:tc>
        <w:tc>
          <w:tcPr>
            <w:tcW w:type="dxa" w:w="1440"/>
            <w:noWrap/>
          </w:tcPr>
          <w:p>
            <w:r>
              <w:t>Likankura</w:t>
            </w:r>
          </w:p>
        </w:tc>
        <w:tc>
          <w:tcPr>
            <w:tcW w:type="dxa" w:w="1440"/>
            <w:noWrap/>
          </w:tcPr>
          <w:p>
            <w:r>
              <w:t>270,9</w:t>
            </w:r>
          </w:p>
        </w:tc>
        <w:tc>
          <w:tcPr>
            <w:tcW w:type="dxa" w:w="1440"/>
            <w:noWrap/>
          </w:tcPr>
          <w:p>
            <w:r>
              <w:t>3</w:t>
            </w:r>
          </w:p>
        </w:tc>
        <w:tc>
          <w:tcPr>
            <w:tcW w:type="dxa" w:w="1440"/>
            <w:noWrap/>
          </w:tcPr>
          <w:p>
            <w:pPr>
              <w:jc w:val="left"/>
            </w:pPr>
            <w:r>
              <w:t>62,1 m³</w:t>
            </w:r>
          </w:p>
          <w:p>
            <w:pPr>
              <w:jc w:val="left"/>
            </w:pPr>
            <w:r>
              <w:t>(23 días, 76,7%)</w:t>
            </w:r>
          </w:p>
        </w:tc>
        <w:tc>
          <w:tcPr>
            <w:tcW w:type="dxa" w:w="1440"/>
            <w:noWrap/>
          </w:tcPr>
          <w:p>
            <w:pPr>
              <w:jc w:val="left"/>
            </w:pPr>
            <w:r>
              <w:t>212,8 m³</w:t>
            </w:r>
          </w:p>
          <w:p>
            <w:pPr>
              <w:jc w:val="left"/>
            </w:pPr>
            <w:r>
              <w:t>(78,6%)</w:t>
            </w:r>
          </w:p>
        </w:tc>
      </w:tr>
      <w:tr>
        <w:tc>
          <w:tcPr>
            <w:tcW w:type="dxa" w:w="1440"/>
            <w:noWrap/>
          </w:tcPr>
          <w:p>
            <w:r>
              <w:t>12</w:t>
            </w:r>
          </w:p>
        </w:tc>
        <w:tc>
          <w:tcPr>
            <w:tcW w:type="dxa" w:w="1440"/>
            <w:noWrap/>
          </w:tcPr>
          <w:p>
            <w:r>
              <w:t>Matilde Huici Navas</w:t>
            </w:r>
          </w:p>
        </w:tc>
        <w:tc>
          <w:tcPr>
            <w:tcW w:type="dxa" w:w="1440"/>
            <w:noWrap/>
          </w:tcPr>
          <w:p>
            <w:r>
              <w:t>155,2</w:t>
            </w:r>
          </w:p>
        </w:tc>
        <w:tc>
          <w:tcPr>
            <w:tcW w:type="dxa" w:w="1440"/>
            <w:noWrap/>
          </w:tcPr>
          <w:p>
            <w:r>
              <w:t>17</w:t>
            </w:r>
          </w:p>
        </w:tc>
        <w:tc>
          <w:tcPr>
            <w:tcW w:type="dxa" w:w="1440"/>
            <w:noWrap/>
          </w:tcPr>
          <w:p>
            <w:pPr>
              <w:jc w:val="left"/>
            </w:pPr>
            <w:r>
              <w:t>30,5 m³</w:t>
            </w:r>
          </w:p>
          <w:p>
            <w:pPr>
              <w:jc w:val="left"/>
            </w:pPr>
            <w:r>
              <w:t>(27 días, 90%)</w:t>
            </w:r>
          </w:p>
        </w:tc>
        <w:tc>
          <w:tcPr>
            <w:tcW w:type="dxa" w:w="1440"/>
            <w:noWrap/>
          </w:tcPr>
          <w:p>
            <w:pPr>
              <w:jc w:val="left"/>
            </w:pPr>
            <w:r>
              <w:t>104,6 m³</w:t>
            </w:r>
          </w:p>
          <w:p>
            <w:pPr>
              <w:jc w:val="left"/>
            </w:pPr>
            <w:r>
              <w:t>(67,4%)</w:t>
            </w:r>
          </w:p>
        </w:tc>
      </w:tr>
      <w:tr>
        <w:tc>
          <w:tcPr>
            <w:tcW w:type="dxa" w:w="1440"/>
            <w:noWrap/>
          </w:tcPr>
          <w:p>
            <w:r>
              <w:t>13</w:t>
            </w:r>
          </w:p>
        </w:tc>
        <w:tc>
          <w:tcPr>
            <w:tcW w:type="dxa" w:w="1440"/>
            <w:noWrap/>
          </w:tcPr>
          <w:p>
            <w:r>
              <w:t>Juan Pablo II</w:t>
            </w:r>
          </w:p>
        </w:tc>
        <w:tc>
          <w:tcPr>
            <w:tcW w:type="dxa" w:w="1440"/>
            <w:noWrap/>
          </w:tcPr>
          <w:p>
            <w:r>
              <w:t>128,8</w:t>
            </w:r>
          </w:p>
        </w:tc>
        <w:tc>
          <w:tcPr>
            <w:tcW w:type="dxa" w:w="1440"/>
            <w:noWrap/>
          </w:tcPr>
          <w:p>
            <w:r>
              <w:t>9</w:t>
            </w:r>
          </w:p>
        </w:tc>
        <w:tc>
          <w:tcPr>
            <w:tcW w:type="dxa" w:w="1440"/>
            <w:noWrap/>
          </w:tcPr>
          <w:p>
            <w:pPr>
              <w:jc w:val="left"/>
            </w:pPr>
            <w:r>
              <w:t>25,6 m³</w:t>
            </w:r>
          </w:p>
          <w:p>
            <w:pPr>
              <w:jc w:val="left"/>
            </w:pPr>
            <w:r>
              <w:t>(26 días, 86,7%)</w:t>
            </w:r>
          </w:p>
        </w:tc>
        <w:tc>
          <w:tcPr>
            <w:tcW w:type="dxa" w:w="1440"/>
            <w:noWrap/>
          </w:tcPr>
          <w:p>
            <w:pPr>
              <w:jc w:val="left"/>
            </w:pPr>
            <w:r>
              <w:t>87,8 m³</w:t>
            </w:r>
          </w:p>
          <w:p>
            <w:pPr>
              <w:jc w:val="left"/>
            </w:pPr>
            <w:r>
              <w:t>(68,2%)</w:t>
            </w:r>
          </w:p>
        </w:tc>
      </w:tr>
      <w:tr>
        <w:tc>
          <w:tcPr>
            <w:tcW w:type="dxa" w:w="1440"/>
            <w:noWrap/>
          </w:tcPr>
          <w:p>
            <w:r>
              <w:t>14</w:t>
            </w:r>
          </w:p>
        </w:tc>
        <w:tc>
          <w:tcPr>
            <w:tcW w:type="dxa" w:w="1440"/>
            <w:noWrap/>
          </w:tcPr>
          <w:p>
            <w:r>
              <w:t>Alicura</w:t>
            </w:r>
          </w:p>
        </w:tc>
        <w:tc>
          <w:tcPr>
            <w:tcW w:type="dxa" w:w="1440"/>
            <w:noWrap/>
          </w:tcPr>
          <w:p>
            <w:r>
              <w:t>46,2</w:t>
            </w:r>
          </w:p>
        </w:tc>
        <w:tc>
          <w:tcPr>
            <w:tcW w:type="dxa" w:w="1440"/>
            <w:noWrap/>
          </w:tcPr>
          <w:p>
            <w:r>
              <w:t>9</w:t>
            </w:r>
          </w:p>
        </w:tc>
        <w:tc>
          <w:tcPr>
            <w:tcW w:type="dxa" w:w="1440"/>
            <w:noWrap/>
          </w:tcPr>
          <w:p>
            <w:pPr>
              <w:jc w:val="left"/>
            </w:pPr>
            <w:r>
              <w:t>8,5 m³</w:t>
            </w:r>
          </w:p>
          <w:p>
            <w:pPr>
              <w:jc w:val="left"/>
            </w:pPr>
            <w:r>
              <w:t>(9 días, 100%)</w:t>
            </w:r>
          </w:p>
        </w:tc>
        <w:tc>
          <w:tcPr>
            <w:tcW w:type="dxa" w:w="1440"/>
            <w:noWrap/>
          </w:tcPr>
          <w:p>
            <w:pPr>
              <w:jc w:val="left"/>
            </w:pPr>
            <w:r>
              <w:t>29,2 m³</w:t>
            </w:r>
          </w:p>
          <w:p>
            <w:pPr>
              <w:jc w:val="left"/>
            </w:pPr>
            <w:r>
              <w:t>(63,4%)</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12.483,9</w:t>
            </w:r>
          </w:p>
        </w:tc>
        <w:tc>
          <w:tcPr>
            <w:tcW w:type="dxa" w:w="1440"/>
            <w:noWrap/>
            <w:shd w:val="clear" w:fill="FFE6E6"/>
          </w:tcPr>
          <w:p>
            <w:pPr>
              <w:jc w:val="left"/>
            </w:pPr>
            <w:r>
              <w:rPr>
                <w:b/>
                <w:color w:val="FF0000"/>
              </w:rPr>
              <w:t>123</w:t>
            </w:r>
          </w:p>
        </w:tc>
        <w:tc>
          <w:tcPr>
            <w:tcW w:type="dxa" w:w="1440"/>
            <w:noWrap/>
            <w:shd w:val="clear" w:fill="FFE6E6"/>
          </w:tcPr>
          <w:p>
            <w:pPr>
              <w:jc w:val="left"/>
            </w:pPr>
            <w:r>
              <w:rPr>
                <w:b/>
                <w:color w:val="FF0000"/>
              </w:rPr>
              <w:t>2.704,8 m³</w:t>
            </w:r>
          </w:p>
        </w:tc>
        <w:tc>
          <w:tcPr>
            <w:tcW w:type="dxa" w:w="1440"/>
            <w:noWrap/>
            <w:shd w:val="clear" w:fill="FFE6E6"/>
          </w:tcPr>
          <w:p>
            <w:pPr>
              <w:jc w:val="left"/>
            </w:pPr>
            <w:r>
              <w:rPr>
                <w:b/>
                <w:color w:val="FF0000"/>
              </w:rPr>
              <w:t>6.581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LIC. ANTONIO HERMIDA F (09-04-26):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08_01.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Lic. Antonio Hermida F registró 7 alerta(s) durante 6 día(s) del periodo analizado. La periodicidad de las alertas es intermitente (más del 20% de los días). Se identificó una proyección de filtración de 573 m³ ($727.655), lo que indica un patrón de fuga constante durante el periodo.</w:t>
      </w:r>
    </w:p>
    <w:p/>
    <w:p>
      <w:pPr>
        <w:keepNext/>
        <w:widowControl/>
        <w:spacing w:after="60"/>
      </w:pPr>
      <w:r>
        <w:rPr>
          <w:b/>
          <w:color w:val="003366"/>
        </w:rPr>
        <w:t>DÍA CON MAYOR CONSUMO NOCTURNO - EDUARDO DE LA BARRA (21-04-26):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08_02.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Eduardo de la Barra registró 22 alerta(s) durante 16 día(s) del periodo analizado. La periodicidad de las alertas es regular (más del 50% de los días). Se identificó una proyección de filtración de 673,7 m³ ($855.571), lo que indica un patrón de fuga constante durante el periodo.</w:t>
      </w:r>
    </w:p>
    <w:p/>
    <w:p>
      <w:pPr>
        <w:keepNext/>
        <w:widowControl/>
        <w:spacing w:after="60"/>
      </w:pPr>
      <w:r>
        <w:rPr>
          <w:b/>
          <w:color w:val="003366"/>
        </w:rPr>
        <w:t>DÍA CON MAYOR CONSUMO NOCTURNO - CARLOS FERNANDEZ P. (07-04-26):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08_03.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Carlos Fernandez P. registró 25 alerta(s) durante 20 día(s) del periodo analizado. La periodicidad de las alertas es regular (más del 50% de los días). Se identificó una proyección de filtración de 437 m³ ($554.960), lo que indica un patrón de fuga constante durante el periodo.</w:t>
      </w:r>
    </w:p>
    <w:p/>
    <w:p>
      <w:pPr>
        <w:keepNext/>
        <w:widowControl/>
        <w:spacing w:after="60"/>
      </w:pPr>
      <w:r>
        <w:rPr>
          <w:b/>
          <w:color w:val="003366"/>
        </w:rPr>
        <w:t>DÍA CON MAYOR CONSUMO NOCTURNO - LUIS ARRIETA CAÑA (14-04-26):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000008_06.png"/>
                    <pic:cNvPicPr/>
                  </pic:nvPicPr>
                  <pic:blipFill>
                    <a:blip r:embed="rId15"/>
                    <a:stretch>
                      <a:fillRect/>
                    </a:stretch>
                  </pic:blipFill>
                  <pic:spPr>
                    <a:xfrm>
                      <a:off x="0" y="0"/>
                      <a:ext cx="5486400" cy="2702533"/>
                    </a:xfrm>
                    <a:prstGeom prst="rect"/>
                  </pic:spPr>
                </pic:pic>
              </a:graphicData>
            </a:graphic>
          </wp:inline>
        </w:drawing>
      </w:r>
    </w:p>
    <w:p>
      <w:pPr>
        <w:jc w:val="both"/>
      </w:pPr>
      <w:r>
        <w:rPr>
          <w:color w:val="000000"/>
        </w:rPr>
        <w:t>El nodo Luis Arrieta Caña registró 1 alerta(s) durante 1 día(s) del periodo analizado. La periodicidad de las alertas es puntual (menos del 20% de los días).</w:t>
      </w:r>
    </w:p>
    <w:p/>
    <w:p>
      <w:pPr>
        <w:keepNext/>
        <w:widowControl/>
        <w:spacing w:after="60"/>
      </w:pPr>
      <w:r>
        <w:rPr>
          <w:b/>
          <w:color w:val="003366"/>
        </w:rPr>
        <w:t>DÍA CON MAYOR CONSUMO NOCTURNO - ERASMO ESCALA (07-04-26):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000008_07.png"/>
                    <pic:cNvPicPr/>
                  </pic:nvPicPr>
                  <pic:blipFill>
                    <a:blip r:embed="rId16"/>
                    <a:stretch>
                      <a:fillRect/>
                    </a:stretch>
                  </pic:blipFill>
                  <pic:spPr>
                    <a:xfrm>
                      <a:off x="0" y="0"/>
                      <a:ext cx="5486400" cy="2702533"/>
                    </a:xfrm>
                    <a:prstGeom prst="rect"/>
                  </pic:spPr>
                </pic:pic>
              </a:graphicData>
            </a:graphic>
          </wp:inline>
        </w:drawing>
      </w:r>
    </w:p>
    <w:p>
      <w:pPr>
        <w:jc w:val="both"/>
      </w:pPr>
      <w:r>
        <w:rPr>
          <w:color w:val="000000"/>
        </w:rPr>
        <w:t>El nodo Erasmo Escala registró 5 alerta(s) durante 3 día(s) del periodo analizado. La periodicidad de las alertas es puntual (menos del 20% de los días). Se identificó una proyección de filtración de 154,4 m³ ($196.123), lo que indica un patrón de fuga constante durante el periodo.</w:t>
      </w:r>
    </w:p>
    <w:p/>
    <w:p>
      <w:pPr>
        <w:keepNext/>
        <w:widowControl/>
        <w:spacing w:after="60"/>
      </w:pPr>
      <w:r>
        <w:rPr>
          <w:b/>
          <w:color w:val="003366"/>
        </w:rPr>
        <w:t>DÍA CON MAYOR CONSUMO NOCTURNO - ALICURA (08-04-26):</w:t>
      </w:r>
    </w:p>
    <w:p>
      <w:pPr>
        <w:keepNext/>
        <w:widowControl/>
        <w:spacing w:after="60"/>
        <w:jc w:val="center"/>
      </w:pPr>
      <w:r>
        <w:drawing>
          <wp:inline xmlns:a="http://schemas.openxmlformats.org/drawingml/2006/main" xmlns:pic="http://schemas.openxmlformats.org/drawingml/2006/picture">
            <wp:extent cx="5486400" cy="2702533"/>
            <wp:docPr id="8" name="Picture 8"/>
            <wp:cNvGraphicFramePr>
              <a:graphicFrameLocks noChangeAspect="1"/>
            </wp:cNvGraphicFramePr>
            <a:graphic>
              <a:graphicData uri="http://schemas.openxmlformats.org/drawingml/2006/picture">
                <pic:pic>
                  <pic:nvPicPr>
                    <pic:cNvPr id="0" name="chart_max_nocturnal_000008_08.png"/>
                    <pic:cNvPicPr/>
                  </pic:nvPicPr>
                  <pic:blipFill>
                    <a:blip r:embed="rId17"/>
                    <a:stretch>
                      <a:fillRect/>
                    </a:stretch>
                  </pic:blipFill>
                  <pic:spPr>
                    <a:xfrm>
                      <a:off x="0" y="0"/>
                      <a:ext cx="5486400" cy="2702533"/>
                    </a:xfrm>
                    <a:prstGeom prst="rect"/>
                  </pic:spPr>
                </pic:pic>
              </a:graphicData>
            </a:graphic>
          </wp:inline>
        </w:drawing>
      </w:r>
    </w:p>
    <w:p>
      <w:pPr>
        <w:jc w:val="both"/>
      </w:pPr>
      <w:r>
        <w:rPr>
          <w:color w:val="000000"/>
        </w:rPr>
        <w:t>El nodo Alicura registró 9 alerta(s) durante 8 día(s) del periodo analizado. La periodicidad de las alertas es intermitente (más del 20% de los días). Se identificó una proyección de filtración de 29,2 m³ ($37.138), lo que indica un patrón de fuga constante durante el periodo.</w:t>
      </w:r>
    </w:p>
    <w:p/>
    <w:p>
      <w:pPr>
        <w:keepNext/>
        <w:widowControl/>
        <w:spacing w:after="60"/>
      </w:pPr>
      <w:r>
        <w:rPr>
          <w:b/>
          <w:color w:val="003366"/>
        </w:rPr>
        <w:t>DÍA CON MAYOR CONSUMO NOCTURNO - JUAN BAUTISTA PASTEN (21-04-26):</w:t>
      </w:r>
    </w:p>
    <w:p>
      <w:pPr>
        <w:keepNext/>
        <w:widowControl/>
        <w:spacing w:after="60"/>
        <w:jc w:val="center"/>
      </w:pPr>
      <w:r>
        <w:drawing>
          <wp:inline xmlns:a="http://schemas.openxmlformats.org/drawingml/2006/main" xmlns:pic="http://schemas.openxmlformats.org/drawingml/2006/picture">
            <wp:extent cx="5486400" cy="2702533"/>
            <wp:docPr id="9" name="Picture 9"/>
            <wp:cNvGraphicFramePr>
              <a:graphicFrameLocks noChangeAspect="1"/>
            </wp:cNvGraphicFramePr>
            <a:graphic>
              <a:graphicData uri="http://schemas.openxmlformats.org/drawingml/2006/picture">
                <pic:pic>
                  <pic:nvPicPr>
                    <pic:cNvPr id="0" name="chart_max_nocturnal_000008_09.png"/>
                    <pic:cNvPicPr/>
                  </pic:nvPicPr>
                  <pic:blipFill>
                    <a:blip r:embed="rId18"/>
                    <a:stretch>
                      <a:fillRect/>
                    </a:stretch>
                  </pic:blipFill>
                  <pic:spPr>
                    <a:xfrm>
                      <a:off x="0" y="0"/>
                      <a:ext cx="5486400" cy="2702533"/>
                    </a:xfrm>
                    <a:prstGeom prst="rect"/>
                  </pic:spPr>
                </pic:pic>
              </a:graphicData>
            </a:graphic>
          </wp:inline>
        </w:drawing>
      </w:r>
    </w:p>
    <w:p>
      <w:pPr>
        <w:jc w:val="both"/>
      </w:pPr>
      <w:r>
        <w:rPr>
          <w:color w:val="000000"/>
        </w:rPr>
        <w:t>El nodo Juan Bautista Pasten registró 13 alerta(s) durante 12 día(s) del periodo analizado. La periodicidad de las alertas es intermitente (más del 20% de los días). Se identificó una proyección de filtración de 519,1 m³ ($659.239), lo que indica un patrón de fuga constante durante el periodo.</w:t>
      </w:r>
    </w:p>
    <w:p/>
    <w:p>
      <w:pPr>
        <w:keepNext/>
        <w:widowControl/>
        <w:spacing w:after="60"/>
      </w:pPr>
      <w:r>
        <w:rPr>
          <w:b/>
          <w:color w:val="003366"/>
        </w:rPr>
        <w:t>DÍA CON MAYOR CONSUMO NOCTURNO - MATILDE HUICI NAVAS (08-04-26):</w:t>
      </w:r>
    </w:p>
    <w:p>
      <w:pPr>
        <w:keepNext/>
        <w:widowControl/>
        <w:spacing w:after="60"/>
        <w:jc w:val="center"/>
      </w:pPr>
      <w:r>
        <w:drawing>
          <wp:inline xmlns:a="http://schemas.openxmlformats.org/drawingml/2006/main" xmlns:pic="http://schemas.openxmlformats.org/drawingml/2006/picture">
            <wp:extent cx="5486400" cy="2702533"/>
            <wp:docPr id="10" name="Picture 10"/>
            <wp:cNvGraphicFramePr>
              <a:graphicFrameLocks noChangeAspect="1"/>
            </wp:cNvGraphicFramePr>
            <a:graphic>
              <a:graphicData uri="http://schemas.openxmlformats.org/drawingml/2006/picture">
                <pic:pic>
                  <pic:nvPicPr>
                    <pic:cNvPr id="0" name="chart_max_nocturnal_000008_10.png"/>
                    <pic:cNvPicPr/>
                  </pic:nvPicPr>
                  <pic:blipFill>
                    <a:blip r:embed="rId19"/>
                    <a:stretch>
                      <a:fillRect/>
                    </a:stretch>
                  </pic:blipFill>
                  <pic:spPr>
                    <a:xfrm>
                      <a:off x="0" y="0"/>
                      <a:ext cx="5486400" cy="2702533"/>
                    </a:xfrm>
                    <a:prstGeom prst="rect"/>
                  </pic:spPr>
                </pic:pic>
              </a:graphicData>
            </a:graphic>
          </wp:inline>
        </w:drawing>
      </w:r>
    </w:p>
    <w:p>
      <w:pPr>
        <w:jc w:val="both"/>
      </w:pPr>
      <w:r>
        <w:rPr>
          <w:color w:val="000000"/>
        </w:rPr>
        <w:t>El nodo Matilde Huici Navas registró 17 alerta(s) durante 16 día(s) del periodo analizado. La periodicidad de las alertas es regular (más del 50% de los días). Se identificó una proyección de filtración de 104,6 m³ ($132.792), lo que indica un patrón de fuga constante durante el periodo.</w:t>
      </w:r>
    </w:p>
    <w:p/>
    <w:p>
      <w:pPr>
        <w:keepNext/>
        <w:widowControl/>
        <w:spacing w:after="60"/>
      </w:pPr>
      <w:r>
        <w:rPr>
          <w:b/>
          <w:color w:val="003366"/>
        </w:rPr>
        <w:t>DÍA CON MAYOR CONSUMO NOCTURNO - CE VALLE HERMOSO (10-04-26):</w:t>
      </w:r>
    </w:p>
    <w:p>
      <w:pPr>
        <w:keepNext/>
        <w:widowControl/>
        <w:spacing w:after="60"/>
        <w:jc w:val="center"/>
      </w:pPr>
      <w:r>
        <w:drawing>
          <wp:inline xmlns:a="http://schemas.openxmlformats.org/drawingml/2006/main" xmlns:pic="http://schemas.openxmlformats.org/drawingml/2006/picture">
            <wp:extent cx="5486400" cy="2702533"/>
            <wp:docPr id="11" name="Picture 11"/>
            <wp:cNvGraphicFramePr>
              <a:graphicFrameLocks noChangeAspect="1"/>
            </wp:cNvGraphicFramePr>
            <a:graphic>
              <a:graphicData uri="http://schemas.openxmlformats.org/drawingml/2006/picture">
                <pic:pic>
                  <pic:nvPicPr>
                    <pic:cNvPr id="0" name="chart_max_nocturnal_000008_11.png"/>
                    <pic:cNvPicPr/>
                  </pic:nvPicPr>
                  <pic:blipFill>
                    <a:blip r:embed="rId20"/>
                    <a:stretch>
                      <a:fillRect/>
                    </a:stretch>
                  </pic:blipFill>
                  <pic:spPr>
                    <a:xfrm>
                      <a:off x="0" y="0"/>
                      <a:ext cx="5486400" cy="2702533"/>
                    </a:xfrm>
                    <a:prstGeom prst="rect"/>
                  </pic:spPr>
                </pic:pic>
              </a:graphicData>
            </a:graphic>
          </wp:inline>
        </w:drawing>
      </w:r>
    </w:p>
    <w:p>
      <w:pPr>
        <w:jc w:val="both"/>
      </w:pPr>
      <w:r>
        <w:rPr>
          <w:color w:val="000000"/>
        </w:rPr>
        <w:t>El nodo CE Valle Hermoso registró 6 alerta(s) durante 5 día(s) del periodo analizado. La periodicidad de las alertas es puntual (menos del 20% de los días).</w:t>
      </w:r>
    </w:p>
    <w:p/>
    <w:p>
      <w:pPr>
        <w:keepNext/>
        <w:widowControl/>
        <w:spacing w:after="60"/>
      </w:pPr>
      <w:r>
        <w:rPr>
          <w:b/>
          <w:color w:val="003366"/>
        </w:rPr>
        <w:t>DÍA CON MAYOR CONSUMO NOCTURNO - UNIÓN NACIONAL ÁRABE (08-04-26):</w:t>
      </w:r>
    </w:p>
    <w:p>
      <w:pPr>
        <w:keepNext/>
        <w:widowControl/>
        <w:spacing w:after="60"/>
        <w:jc w:val="center"/>
      </w:pPr>
      <w:r>
        <w:drawing>
          <wp:inline xmlns:a="http://schemas.openxmlformats.org/drawingml/2006/main" xmlns:pic="http://schemas.openxmlformats.org/drawingml/2006/picture">
            <wp:extent cx="5486400" cy="2702533"/>
            <wp:docPr id="12" name="Picture 12"/>
            <wp:cNvGraphicFramePr>
              <a:graphicFrameLocks noChangeAspect="1"/>
            </wp:cNvGraphicFramePr>
            <a:graphic>
              <a:graphicData uri="http://schemas.openxmlformats.org/drawingml/2006/picture">
                <pic:pic>
                  <pic:nvPicPr>
                    <pic:cNvPr id="0" name="chart_max_nocturnal_000008_12.png"/>
                    <pic:cNvPicPr/>
                  </pic:nvPicPr>
                  <pic:blipFill>
                    <a:blip r:embed="rId21"/>
                    <a:stretch>
                      <a:fillRect/>
                    </a:stretch>
                  </pic:blipFill>
                  <pic:spPr>
                    <a:xfrm>
                      <a:off x="0" y="0"/>
                      <a:ext cx="5486400" cy="2702533"/>
                    </a:xfrm>
                    <a:prstGeom prst="rect"/>
                  </pic:spPr>
                </pic:pic>
              </a:graphicData>
            </a:graphic>
          </wp:inline>
        </w:drawing>
      </w:r>
    </w:p>
    <w:p>
      <w:pPr>
        <w:jc w:val="both"/>
      </w:pPr>
      <w:r>
        <w:rPr>
          <w:color w:val="000000"/>
        </w:rPr>
        <w:t>El nodo Unión Nacional Árabe registró 6 alerta(s) durante 6 día(s) del periodo analizado. La periodicidad de las alertas es intermitente (más del 20% de los días). Se identificó una proyección de filtración de 1.180,6 m³ ($1.499.311), lo que indica un patrón de fuga constante durante el periodo.</w:t>
      </w:r>
    </w:p>
    <w:p/>
    <w:p>
      <w:pPr>
        <w:keepNext/>
        <w:widowControl/>
        <w:spacing w:after="60"/>
      </w:pPr>
      <w:r>
        <w:rPr>
          <w:b/>
          <w:color w:val="003366"/>
        </w:rPr>
        <w:t>DÍA CON MAYOR CONSUMO NOCTURNO - LIKANKURA (23-04-26):</w:t>
      </w:r>
    </w:p>
    <w:p>
      <w:pPr>
        <w:keepNext/>
        <w:widowControl/>
        <w:spacing w:after="60"/>
        <w:jc w:val="center"/>
      </w:pPr>
      <w:r>
        <w:drawing>
          <wp:inline xmlns:a="http://schemas.openxmlformats.org/drawingml/2006/main" xmlns:pic="http://schemas.openxmlformats.org/drawingml/2006/picture">
            <wp:extent cx="5486400" cy="2702533"/>
            <wp:docPr id="13" name="Picture 13"/>
            <wp:cNvGraphicFramePr>
              <a:graphicFrameLocks noChangeAspect="1"/>
            </wp:cNvGraphicFramePr>
            <a:graphic>
              <a:graphicData uri="http://schemas.openxmlformats.org/drawingml/2006/picture">
                <pic:pic>
                  <pic:nvPicPr>
                    <pic:cNvPr id="0" name="chart_max_nocturnal_000008_13.png"/>
                    <pic:cNvPicPr/>
                  </pic:nvPicPr>
                  <pic:blipFill>
                    <a:blip r:embed="rId22"/>
                    <a:stretch>
                      <a:fillRect/>
                    </a:stretch>
                  </pic:blipFill>
                  <pic:spPr>
                    <a:xfrm>
                      <a:off x="0" y="0"/>
                      <a:ext cx="5486400" cy="2702533"/>
                    </a:xfrm>
                    <a:prstGeom prst="rect"/>
                  </pic:spPr>
                </pic:pic>
              </a:graphicData>
            </a:graphic>
          </wp:inline>
        </w:drawing>
      </w:r>
    </w:p>
    <w:p>
      <w:pPr>
        <w:jc w:val="both"/>
      </w:pPr>
      <w:r>
        <w:rPr>
          <w:color w:val="000000"/>
        </w:rPr>
        <w:t>El nodo Likankura registró 3 alerta(s) durante 3 día(s) del periodo analizado. La periodicidad de las alertas es puntual (menos del 20% de los días). Se identificó una proyección de filtración de 212,8 m³ ($270.289), lo que indica un patrón de fuga constante durante el periodo.</w:t>
      </w:r>
    </w:p>
    <w:p/>
    <w:p>
      <w:pPr>
        <w:keepNext/>
        <w:widowControl/>
        <w:spacing w:after="60"/>
      </w:pPr>
      <w:r>
        <w:rPr>
          <w:b/>
          <w:color w:val="003366"/>
        </w:rPr>
        <w:t>DÍA CON MAYOR CONSUMO NOCTURNO - JUAN PABLO II (16-04-26):</w:t>
      </w:r>
    </w:p>
    <w:p>
      <w:pPr>
        <w:keepNext/>
        <w:widowControl/>
        <w:spacing w:after="60"/>
        <w:jc w:val="center"/>
      </w:pPr>
      <w:r>
        <w:drawing>
          <wp:inline xmlns:a="http://schemas.openxmlformats.org/drawingml/2006/main" xmlns:pic="http://schemas.openxmlformats.org/drawingml/2006/picture">
            <wp:extent cx="5486400" cy="2702533"/>
            <wp:docPr id="14" name="Picture 14"/>
            <wp:cNvGraphicFramePr>
              <a:graphicFrameLocks noChangeAspect="1"/>
            </wp:cNvGraphicFramePr>
            <a:graphic>
              <a:graphicData uri="http://schemas.openxmlformats.org/drawingml/2006/picture">
                <pic:pic>
                  <pic:nvPicPr>
                    <pic:cNvPr id="0" name="chart_max_nocturnal_000008_14.png"/>
                    <pic:cNvPicPr/>
                  </pic:nvPicPr>
                  <pic:blipFill>
                    <a:blip r:embed="rId23"/>
                    <a:stretch>
                      <a:fillRect/>
                    </a:stretch>
                  </pic:blipFill>
                  <pic:spPr>
                    <a:xfrm>
                      <a:off x="0" y="0"/>
                      <a:ext cx="5486400" cy="2702533"/>
                    </a:xfrm>
                    <a:prstGeom prst="rect"/>
                  </pic:spPr>
                </pic:pic>
              </a:graphicData>
            </a:graphic>
          </wp:inline>
        </w:drawing>
      </w:r>
    </w:p>
    <w:p>
      <w:pPr>
        <w:jc w:val="both"/>
      </w:pPr>
      <w:r>
        <w:rPr>
          <w:color w:val="000000"/>
        </w:rPr>
        <w:t>El nodo Juan Pablo II registró 9 alerta(s) durante 9 día(s) del periodo analizado. La periodicidad de las alertas es intermitente (más del 20% de los días). Se identificó una proyección de filtración de 87,8 m³ ($111.557), lo que indica un patrón de fuga constante durante el periodo.</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15" name="Picture 15"/>
            <wp:cNvGraphicFramePr>
              <a:graphicFrameLocks noChangeAspect="1"/>
            </wp:cNvGraphicFramePr>
            <a:graphic>
              <a:graphicData uri="http://schemas.openxmlformats.org/drawingml/2006/picture">
                <pic:pic>
                  <pic:nvPicPr>
                    <pic:cNvPr id="0" name="chart_comparacion_mensual_agregada.png"/>
                    <pic:cNvPicPr/>
                  </pic:nvPicPr>
                  <pic:blipFill>
                    <a:blip r:embed="rId24"/>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Tobalaba, Unión Nacional Árabe, Lic. Antonio Hermida F, Juan Bautista Pasten, Eduardo de la Barra, Carlos Fernandez P., Santa Maria, Erasmo Escala, Likankura, Matilde Huici Navas, Juan Pablo II y Alicura.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