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CORMUP</w:t>
      </w:r>
    </w:p>
    <w:p>
      <w:pPr>
        <w:jc w:val="center"/>
      </w:pPr>
      <w:r>
        <w:t>MONITOREO WES</w:t>
        <w:br/>
        <w:t>Análisis consolidado de 14 puntos de monitoreo</w:t>
        <w:br/>
        <w:t>Rango: 01-05-26 - 31-05-26</w:t>
        <w:br/>
        <w:t>Generado: 28-05-26 14:51</w:t>
      </w:r>
    </w:p>
    <w:p>
      <w:pPr>
        <w:pStyle w:val="Heading1"/>
        <w:keepNext/>
        <w:widowControl/>
        <w:spacing w:after="60"/>
      </w:pPr>
      <w:r>
        <w:rPr>
          <w:b/>
          <w:color w:val="003366"/>
        </w:rPr>
        <w:t>RESUMEN EJECUTIVO AGREGADO</w:t>
      </w:r>
    </w:p>
    <w:p>
      <w:r>
        <w:t>Puntos de monitoreo analizados: 14.</w:t>
        <w:br/>
      </w:r>
      <w:r>
        <w:t>Consumo total agregado: 8.494,3 m³.</w:t>
        <w:br/>
      </w:r>
      <w:r>
        <w:t>Consumo promedio por punto: 606,7 m³.</w:t>
        <w:br/>
      </w:r>
      <w:r>
        <w:t>Total de alertas registradas: 107.</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Tobalaba, con un total de 2.157,3 m³ durante el periodo analizado. Este valor representa un 255,6% por encima del promedio (606,7 m³ por punto), indicando una demanda significativamente superior a la media. Por otro lado, el punto con menor consumo es Alicura, con un total de 35,4 m³. Este valor representa un 94,2% por debajo del promedio, mostrando una demanda significativamente inferior. La diferencia entre el punto de mayor y menor consumo es considerable, siendo el consumo máximo aproximadamente 60,9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817"/>
        <w:gridCol w:w="1337"/>
        <w:gridCol w:w="1094"/>
        <w:gridCol w:w="973"/>
        <w:gridCol w:w="1520"/>
        <w:gridCol w:w="1459"/>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Tobalaba</w:t>
            </w:r>
          </w:p>
        </w:tc>
        <w:tc>
          <w:tcPr>
            <w:tcW w:type="dxa" w:w="1440"/>
            <w:noWrap/>
          </w:tcPr>
          <w:p>
            <w:r>
              <w:t>2.157,3</w:t>
            </w:r>
          </w:p>
        </w:tc>
        <w:tc>
          <w:tcPr>
            <w:tcW w:type="dxa" w:w="1440"/>
            <w:noWrap/>
          </w:tcPr>
          <w:p>
            <w:r>
              <w:t>0</w:t>
            </w:r>
          </w:p>
        </w:tc>
        <w:tc>
          <w:tcPr>
            <w:tcW w:type="dxa" w:w="1440"/>
            <w:noWrap/>
          </w:tcPr>
          <w:p>
            <w:pPr>
              <w:jc w:val="left"/>
            </w:pPr>
            <w:r>
              <w:t>481,7 m³</w:t>
            </w:r>
          </w:p>
          <w:p>
            <w:pPr>
              <w:jc w:val="left"/>
            </w:pPr>
            <w:r>
              <w:t>(24 días, 85,7%)</w:t>
            </w:r>
          </w:p>
        </w:tc>
        <w:tc>
          <w:tcPr>
            <w:tcW w:type="dxa" w:w="1440"/>
            <w:noWrap/>
          </w:tcPr>
          <w:p>
            <w:pPr>
              <w:jc w:val="left"/>
            </w:pPr>
            <w:r>
              <w:t>1.651,5 m³</w:t>
            </w:r>
          </w:p>
          <w:p>
            <w:pPr>
              <w:jc w:val="left"/>
            </w:pPr>
            <w:r>
              <w:t>(76,6%)</w:t>
            </w:r>
          </w:p>
        </w:tc>
      </w:tr>
      <w:tr>
        <w:tc>
          <w:tcPr>
            <w:tcW w:type="dxa" w:w="1440"/>
            <w:noWrap/>
          </w:tcPr>
          <w:p>
            <w:r>
              <w:t>2</w:t>
            </w:r>
          </w:p>
        </w:tc>
        <w:tc>
          <w:tcPr>
            <w:tcW w:type="dxa" w:w="1440"/>
            <w:noWrap/>
          </w:tcPr>
          <w:p>
            <w:r>
              <w:t>Unión Nacional Árabe</w:t>
            </w:r>
          </w:p>
        </w:tc>
        <w:tc>
          <w:tcPr>
            <w:tcW w:type="dxa" w:w="1440"/>
            <w:noWrap/>
          </w:tcPr>
          <w:p>
            <w:r>
              <w:t>1.509,5</w:t>
            </w:r>
          </w:p>
        </w:tc>
        <w:tc>
          <w:tcPr>
            <w:tcW w:type="dxa" w:w="1440"/>
            <w:noWrap/>
          </w:tcPr>
          <w:p>
            <w:r>
              <w:t>2</w:t>
            </w:r>
          </w:p>
        </w:tc>
        <w:tc>
          <w:tcPr>
            <w:tcW w:type="dxa" w:w="1440"/>
            <w:noWrap/>
          </w:tcPr>
          <w:p>
            <w:pPr>
              <w:jc w:val="left"/>
            </w:pPr>
            <w:r>
              <w:t>396 m³</w:t>
            </w:r>
          </w:p>
          <w:p>
            <w:pPr>
              <w:jc w:val="left"/>
            </w:pPr>
            <w:r>
              <w:t>(28 días, 100%)</w:t>
            </w:r>
          </w:p>
        </w:tc>
        <w:tc>
          <w:tcPr>
            <w:tcW w:type="dxa" w:w="1440"/>
            <w:noWrap/>
          </w:tcPr>
          <w:p>
            <w:pPr>
              <w:jc w:val="left"/>
            </w:pPr>
            <w:r>
              <w:t>1.357,6 m³</w:t>
            </w:r>
          </w:p>
          <w:p>
            <w:pPr>
              <w:jc w:val="left"/>
            </w:pPr>
            <w:r>
              <w:t>(89,9%)</w:t>
            </w:r>
          </w:p>
        </w:tc>
      </w:tr>
      <w:tr>
        <w:tc>
          <w:tcPr>
            <w:tcW w:type="dxa" w:w="1440"/>
            <w:noWrap/>
          </w:tcPr>
          <w:p>
            <w:r>
              <w:t>3</w:t>
            </w:r>
          </w:p>
        </w:tc>
        <w:tc>
          <w:tcPr>
            <w:tcW w:type="dxa" w:w="1440"/>
            <w:noWrap/>
          </w:tcPr>
          <w:p>
            <w:r>
              <w:t>Luis Arrieta Caña</w:t>
            </w:r>
          </w:p>
        </w:tc>
        <w:tc>
          <w:tcPr>
            <w:tcW w:type="dxa" w:w="1440"/>
            <w:noWrap/>
          </w:tcPr>
          <w:p>
            <w:r>
              <w:t>1.102,4</w:t>
            </w:r>
          </w:p>
        </w:tc>
        <w:tc>
          <w:tcPr>
            <w:tcW w:type="dxa" w:w="1440"/>
            <w:noWrap/>
          </w:tcPr>
          <w:p>
            <w:r>
              <w:t>1</w:t>
            </w:r>
          </w:p>
        </w:tc>
        <w:tc>
          <w:tcPr>
            <w:tcW w:type="dxa" w:w="1440"/>
            <w:noWrap/>
          </w:tcPr>
          <w:p>
            <w:pPr>
              <w:jc w:val="left"/>
            </w:pPr>
            <w:r>
              <w:t>297 m³</w:t>
            </w:r>
          </w:p>
          <w:p>
            <w:pPr>
              <w:jc w:val="left"/>
            </w:pPr>
            <w:r>
              <w:t>(20 días, 71,4%)</w:t>
            </w:r>
          </w:p>
        </w:tc>
        <w:tc>
          <w:tcPr>
            <w:tcW w:type="dxa" w:w="1440"/>
            <w:noWrap/>
          </w:tcPr>
          <w:p>
            <w:pPr>
              <w:jc w:val="left"/>
            </w:pPr>
            <w:r>
              <w:t>0,0 m³</w:t>
            </w:r>
          </w:p>
          <w:p>
            <w:pPr>
              <w:jc w:val="left"/>
            </w:pPr>
            <w:r>
              <w:t>(0,0%)</w:t>
            </w:r>
          </w:p>
        </w:tc>
      </w:tr>
      <w:tr>
        <w:tc>
          <w:tcPr>
            <w:tcW w:type="dxa" w:w="1440"/>
            <w:noWrap/>
          </w:tcPr>
          <w:p>
            <w:r>
              <w:t>4</w:t>
            </w:r>
          </w:p>
        </w:tc>
        <w:tc>
          <w:tcPr>
            <w:tcW w:type="dxa" w:w="1440"/>
            <w:noWrap/>
          </w:tcPr>
          <w:p>
            <w:r>
              <w:t>Juan Bautista Pasten</w:t>
            </w:r>
          </w:p>
        </w:tc>
        <w:tc>
          <w:tcPr>
            <w:tcW w:type="dxa" w:w="1440"/>
            <w:noWrap/>
          </w:tcPr>
          <w:p>
            <w:r>
              <w:t>964,2</w:t>
            </w:r>
          </w:p>
        </w:tc>
        <w:tc>
          <w:tcPr>
            <w:tcW w:type="dxa" w:w="1440"/>
            <w:noWrap/>
          </w:tcPr>
          <w:p>
            <w:r>
              <w:t>17</w:t>
            </w:r>
          </w:p>
        </w:tc>
        <w:tc>
          <w:tcPr>
            <w:tcW w:type="dxa" w:w="1440"/>
            <w:noWrap/>
          </w:tcPr>
          <w:p>
            <w:pPr>
              <w:jc w:val="left"/>
            </w:pPr>
            <w:r>
              <w:t>178,5 m³</w:t>
            </w:r>
          </w:p>
          <w:p>
            <w:pPr>
              <w:jc w:val="left"/>
            </w:pPr>
            <w:r>
              <w:t>(24 días, 85,7%)</w:t>
            </w:r>
          </w:p>
        </w:tc>
        <w:tc>
          <w:tcPr>
            <w:tcW w:type="dxa" w:w="1440"/>
            <w:noWrap/>
          </w:tcPr>
          <w:p>
            <w:pPr>
              <w:jc w:val="left"/>
            </w:pPr>
            <w:r>
              <w:t>612 m³</w:t>
            </w:r>
          </w:p>
          <w:p>
            <w:pPr>
              <w:jc w:val="left"/>
            </w:pPr>
            <w:r>
              <w:t>(63,5%)</w:t>
            </w:r>
          </w:p>
        </w:tc>
      </w:tr>
      <w:tr>
        <w:tc>
          <w:tcPr>
            <w:tcW w:type="dxa" w:w="1440"/>
            <w:noWrap/>
          </w:tcPr>
          <w:p>
            <w:r>
              <w:t>5</w:t>
            </w:r>
          </w:p>
        </w:tc>
        <w:tc>
          <w:tcPr>
            <w:tcW w:type="dxa" w:w="1440"/>
            <w:noWrap/>
          </w:tcPr>
          <w:p>
            <w:r>
              <w:t>Eduardo de la Barra</w:t>
            </w:r>
          </w:p>
        </w:tc>
        <w:tc>
          <w:tcPr>
            <w:tcW w:type="dxa" w:w="1440"/>
            <w:noWrap/>
          </w:tcPr>
          <w:p>
            <w:r>
              <w:t>712</w:t>
            </w:r>
          </w:p>
        </w:tc>
        <w:tc>
          <w:tcPr>
            <w:tcW w:type="dxa" w:w="1440"/>
            <w:noWrap/>
          </w:tcPr>
          <w:p>
            <w:r>
              <w:t>16</w:t>
            </w:r>
          </w:p>
        </w:tc>
        <w:tc>
          <w:tcPr>
            <w:tcW w:type="dxa" w:w="1440"/>
            <w:noWrap/>
          </w:tcPr>
          <w:p>
            <w:pPr>
              <w:jc w:val="left"/>
            </w:pPr>
            <w:r>
              <w:t>194,1 m³</w:t>
            </w:r>
          </w:p>
          <w:p>
            <w:pPr>
              <w:jc w:val="left"/>
            </w:pPr>
            <w:r>
              <w:t>(28 días, 100%)</w:t>
            </w:r>
          </w:p>
        </w:tc>
        <w:tc>
          <w:tcPr>
            <w:tcW w:type="dxa" w:w="1440"/>
            <w:noWrap/>
          </w:tcPr>
          <w:p>
            <w:pPr>
              <w:jc w:val="left"/>
            </w:pPr>
            <w:r>
              <w:t>665,3 m³</w:t>
            </w:r>
          </w:p>
          <w:p>
            <w:pPr>
              <w:jc w:val="left"/>
            </w:pPr>
            <w:r>
              <w:t>(93,4%)</w:t>
            </w:r>
          </w:p>
        </w:tc>
      </w:tr>
      <w:tr>
        <w:tc>
          <w:tcPr>
            <w:tcW w:type="dxa" w:w="1440"/>
            <w:noWrap/>
          </w:tcPr>
          <w:p>
            <w:r>
              <w:t>6</w:t>
            </w:r>
          </w:p>
        </w:tc>
        <w:tc>
          <w:tcPr>
            <w:tcW w:type="dxa" w:w="1440"/>
            <w:noWrap/>
          </w:tcPr>
          <w:p>
            <w:r>
              <w:t>CE Valle Hermoso</w:t>
            </w:r>
          </w:p>
        </w:tc>
        <w:tc>
          <w:tcPr>
            <w:tcW w:type="dxa" w:w="1440"/>
            <w:noWrap/>
          </w:tcPr>
          <w:p>
            <w:r>
              <w:t>456,9</w:t>
            </w:r>
          </w:p>
        </w:tc>
        <w:tc>
          <w:tcPr>
            <w:tcW w:type="dxa" w:w="1440"/>
            <w:noWrap/>
          </w:tcPr>
          <w:p>
            <w:r>
              <w:t>9</w:t>
            </w:r>
          </w:p>
        </w:tc>
        <w:tc>
          <w:tcPr>
            <w:tcW w:type="dxa" w:w="1440"/>
            <w:noWrap/>
          </w:tcPr>
          <w:p>
            <w:pPr>
              <w:jc w:val="left"/>
            </w:pPr>
            <w:r>
              <w:t>96,2 m³</w:t>
            </w:r>
          </w:p>
          <w:p>
            <w:pPr>
              <w:jc w:val="left"/>
            </w:pPr>
            <w:r>
              <w:t>(17 días, 60,7%)</w:t>
            </w:r>
          </w:p>
        </w:tc>
        <w:tc>
          <w:tcPr>
            <w:tcW w:type="dxa" w:w="1440"/>
            <w:noWrap/>
          </w:tcPr>
          <w:p>
            <w:pPr>
              <w:jc w:val="left"/>
            </w:pPr>
            <w:r>
              <w:t>0,0 m³</w:t>
            </w:r>
          </w:p>
          <w:p>
            <w:pPr>
              <w:jc w:val="left"/>
            </w:pPr>
            <w:r>
              <w:t>(0,0%)</w:t>
            </w:r>
          </w:p>
        </w:tc>
      </w:tr>
      <w:tr>
        <w:tc>
          <w:tcPr>
            <w:tcW w:type="dxa" w:w="1440"/>
            <w:noWrap/>
          </w:tcPr>
          <w:p>
            <w:r>
              <w:t>7</w:t>
            </w:r>
          </w:p>
        </w:tc>
        <w:tc>
          <w:tcPr>
            <w:tcW w:type="dxa" w:w="1440"/>
            <w:noWrap/>
          </w:tcPr>
          <w:p>
            <w:r>
              <w:t>Carlos Fernandez P.</w:t>
            </w:r>
          </w:p>
        </w:tc>
        <w:tc>
          <w:tcPr>
            <w:tcW w:type="dxa" w:w="1440"/>
            <w:noWrap/>
          </w:tcPr>
          <w:p>
            <w:r>
              <w:t>431,7</w:t>
            </w:r>
          </w:p>
        </w:tc>
        <w:tc>
          <w:tcPr>
            <w:tcW w:type="dxa" w:w="1440"/>
            <w:noWrap/>
          </w:tcPr>
          <w:p>
            <w:r>
              <w:t>12</w:t>
            </w:r>
          </w:p>
        </w:tc>
        <w:tc>
          <w:tcPr>
            <w:tcW w:type="dxa" w:w="1440"/>
            <w:noWrap/>
          </w:tcPr>
          <w:p>
            <w:pPr>
              <w:jc w:val="left"/>
            </w:pPr>
            <w:r>
              <w:t>38,2 m³</w:t>
            </w:r>
          </w:p>
          <w:p>
            <w:pPr>
              <w:jc w:val="left"/>
            </w:pPr>
            <w:r>
              <w:t>(12 días, 92,3%)</w:t>
            </w:r>
          </w:p>
        </w:tc>
        <w:tc>
          <w:tcPr>
            <w:tcW w:type="dxa" w:w="1440"/>
            <w:noWrap/>
          </w:tcPr>
          <w:p>
            <w:pPr>
              <w:jc w:val="left"/>
            </w:pPr>
            <w:r>
              <w:t>130,9 m³</w:t>
            </w:r>
          </w:p>
          <w:p>
            <w:pPr>
              <w:jc w:val="left"/>
            </w:pPr>
            <w:r>
              <w:t>(30,3%)</w:t>
            </w:r>
          </w:p>
        </w:tc>
      </w:tr>
      <w:tr>
        <w:tc>
          <w:tcPr>
            <w:tcW w:type="dxa" w:w="1440"/>
            <w:noWrap/>
          </w:tcPr>
          <w:p>
            <w:r>
              <w:t>8</w:t>
            </w:r>
          </w:p>
        </w:tc>
        <w:tc>
          <w:tcPr>
            <w:tcW w:type="dxa" w:w="1440"/>
            <w:noWrap/>
          </w:tcPr>
          <w:p>
            <w:r>
              <w:t>Lic. Antonio Hermida F</w:t>
            </w:r>
          </w:p>
        </w:tc>
        <w:tc>
          <w:tcPr>
            <w:tcW w:type="dxa" w:w="1440"/>
            <w:noWrap/>
          </w:tcPr>
          <w:p>
            <w:r>
              <w:t>386,2</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9</w:t>
            </w:r>
          </w:p>
        </w:tc>
        <w:tc>
          <w:tcPr>
            <w:tcW w:type="dxa" w:w="1440"/>
            <w:noWrap/>
          </w:tcPr>
          <w:p>
            <w:r>
              <w:t>Santa Maria</w:t>
            </w:r>
          </w:p>
        </w:tc>
        <w:tc>
          <w:tcPr>
            <w:tcW w:type="dxa" w:w="1440"/>
            <w:noWrap/>
          </w:tcPr>
          <w:p>
            <w:r>
              <w:t>227,5</w:t>
            </w:r>
          </w:p>
        </w:tc>
        <w:tc>
          <w:tcPr>
            <w:tcW w:type="dxa" w:w="1440"/>
            <w:noWrap/>
          </w:tcPr>
          <w:p>
            <w:r>
              <w:t>8</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10</w:t>
            </w:r>
          </w:p>
        </w:tc>
        <w:tc>
          <w:tcPr>
            <w:tcW w:type="dxa" w:w="1440"/>
            <w:noWrap/>
          </w:tcPr>
          <w:p>
            <w:r>
              <w:t>Likankura</w:t>
            </w:r>
          </w:p>
        </w:tc>
        <w:tc>
          <w:tcPr>
            <w:tcW w:type="dxa" w:w="1440"/>
            <w:noWrap/>
          </w:tcPr>
          <w:p>
            <w:r>
              <w:t>226,2</w:t>
            </w:r>
          </w:p>
        </w:tc>
        <w:tc>
          <w:tcPr>
            <w:tcW w:type="dxa" w:w="1440"/>
            <w:noWrap/>
          </w:tcPr>
          <w:p>
            <w:r>
              <w:t>5</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11</w:t>
            </w:r>
          </w:p>
        </w:tc>
        <w:tc>
          <w:tcPr>
            <w:tcW w:type="dxa" w:w="1440"/>
            <w:noWrap/>
          </w:tcPr>
          <w:p>
            <w:r>
              <w:t>Erasmo Escala</w:t>
            </w:r>
          </w:p>
        </w:tc>
        <w:tc>
          <w:tcPr>
            <w:tcW w:type="dxa" w:w="1440"/>
            <w:noWrap/>
          </w:tcPr>
          <w:p>
            <w:r>
              <w:t>96</w:t>
            </w:r>
          </w:p>
        </w:tc>
        <w:tc>
          <w:tcPr>
            <w:tcW w:type="dxa" w:w="1440"/>
            <w:noWrap/>
          </w:tcPr>
          <w:p>
            <w:r>
              <w:t>3</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12</w:t>
            </w:r>
          </w:p>
        </w:tc>
        <w:tc>
          <w:tcPr>
            <w:tcW w:type="dxa" w:w="1440"/>
            <w:noWrap/>
          </w:tcPr>
          <w:p>
            <w:r>
              <w:t>Juan Pablo II</w:t>
            </w:r>
          </w:p>
        </w:tc>
        <w:tc>
          <w:tcPr>
            <w:tcW w:type="dxa" w:w="1440"/>
            <w:noWrap/>
          </w:tcPr>
          <w:p>
            <w:r>
              <w:t>95,8</w:t>
            </w:r>
          </w:p>
        </w:tc>
        <w:tc>
          <w:tcPr>
            <w:tcW w:type="dxa" w:w="1440"/>
            <w:noWrap/>
          </w:tcPr>
          <w:p>
            <w:r>
              <w:t>6</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13</w:t>
            </w:r>
          </w:p>
        </w:tc>
        <w:tc>
          <w:tcPr>
            <w:tcW w:type="dxa" w:w="1440"/>
            <w:noWrap/>
          </w:tcPr>
          <w:p>
            <w:r>
              <w:t>Matilde Huici Navas</w:t>
            </w:r>
          </w:p>
        </w:tc>
        <w:tc>
          <w:tcPr>
            <w:tcW w:type="dxa" w:w="1440"/>
            <w:noWrap/>
          </w:tcPr>
          <w:p>
            <w:r>
              <w:t>93,2</w:t>
            </w:r>
          </w:p>
        </w:tc>
        <w:tc>
          <w:tcPr>
            <w:tcW w:type="dxa" w:w="1440"/>
            <w:noWrap/>
          </w:tcPr>
          <w:p>
            <w:r>
              <w:t>11</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tcPr>
          <w:p>
            <w:r>
              <w:t>14</w:t>
            </w:r>
          </w:p>
        </w:tc>
        <w:tc>
          <w:tcPr>
            <w:tcW w:type="dxa" w:w="1440"/>
            <w:noWrap/>
          </w:tcPr>
          <w:p>
            <w:r>
              <w:t>Alicura</w:t>
            </w:r>
          </w:p>
        </w:tc>
        <w:tc>
          <w:tcPr>
            <w:tcW w:type="dxa" w:w="1440"/>
            <w:noWrap/>
          </w:tcPr>
          <w:p>
            <w:r>
              <w:t>35,4</w:t>
            </w:r>
          </w:p>
        </w:tc>
        <w:tc>
          <w:tcPr>
            <w:tcW w:type="dxa" w:w="1440"/>
            <w:noWrap/>
          </w:tcPr>
          <w:p>
            <w:r>
              <w:t>17</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8.494,3</w:t>
            </w:r>
          </w:p>
        </w:tc>
        <w:tc>
          <w:tcPr>
            <w:tcW w:type="dxa" w:w="1440"/>
            <w:noWrap/>
            <w:shd w:val="clear" w:fill="FFE6E6"/>
          </w:tcPr>
          <w:p>
            <w:pPr>
              <w:jc w:val="left"/>
            </w:pPr>
            <w:r>
              <w:rPr>
                <w:b/>
                <w:color w:val="FF0000"/>
              </w:rPr>
              <w:t>107</w:t>
            </w:r>
          </w:p>
        </w:tc>
        <w:tc>
          <w:tcPr>
            <w:tcW w:type="dxa" w:w="1440"/>
            <w:noWrap/>
            <w:shd w:val="clear" w:fill="FFE6E6"/>
          </w:tcPr>
          <w:p>
            <w:pPr>
              <w:jc w:val="left"/>
            </w:pPr>
            <w:r>
              <w:rPr>
                <w:b/>
                <w:color w:val="FF0000"/>
              </w:rPr>
              <w:t>1.681,6 m³</w:t>
            </w:r>
          </w:p>
        </w:tc>
        <w:tc>
          <w:tcPr>
            <w:tcW w:type="dxa" w:w="1440"/>
            <w:noWrap/>
            <w:shd w:val="clear" w:fill="FFE6E6"/>
          </w:tcPr>
          <w:p>
            <w:pPr>
              <w:jc w:val="left"/>
            </w:pPr>
            <w:r>
              <w:rPr>
                <w:b/>
                <w:color w:val="FF0000"/>
              </w:rPr>
              <w:t>4.417,4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Tobalaba, Unión Nacional Árabe, Juan Bautista Pasten, Eduardo de la Barra y Carlos Fernandez P..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