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01-05-26 - 31-05-26</w:t>
        <w:br/>
        <w:t>Generado: 28-05-26 16:36</w:t>
      </w:r>
    </w:p>
    <w:p>
      <w:pPr>
        <w:pStyle w:val="Heading1"/>
        <w:keepNext/>
        <w:widowControl/>
        <w:spacing w:after="60"/>
      </w:pPr>
      <w:r>
        <w:rPr>
          <w:b/>
          <w:color w:val="003366"/>
        </w:rPr>
        <w:t>RESUMEN EJECUTIVO AGREGADO</w:t>
      </w:r>
    </w:p>
    <w:p>
      <w:r>
        <w:t>Puntos de monitoreo analizados: 14.</w:t>
        <w:br/>
      </w:r>
      <w:r>
        <w:t>Consumo total agregado: 8.568,7 m³.</w:t>
        <w:br/>
      </w:r>
      <w:r>
        <w:t>Consumo promedio por punto: 612 m³.</w:t>
        <w:br/>
      </w:r>
      <w:r>
        <w:t>Total de alertas registradas: 107.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2.172,6 m³ durante el periodo analizado. Este valor representa un 255% por encima del promedio (612 m³ por punto), indicando una demanda significativamente superior a la media. Por otro lado, el punto con menor consumo es Alicura, con un total de 35,7 m³. Este valor representa un 94,2% por debajo del promedio, mostrando una demanda significativamente inferior. La diferencia entre el punto de mayor y menor consumo es considerable, siendo el consumo máximo aproximadamente 60,9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2.172,6</w:t>
            </w:r>
          </w:p>
        </w:tc>
        <w:tc>
          <w:tcPr>
            <w:tcW w:type="dxa" w:w="1440"/>
            <w:noWrap/>
          </w:tcPr>
          <w:p>
            <w:r>
              <w:t>0</w:t>
            </w:r>
          </w:p>
        </w:tc>
        <w:tc>
          <w:tcPr>
            <w:tcW w:type="dxa" w:w="1440"/>
            <w:noWrap/>
          </w:tcPr>
          <w:p>
            <w:pPr>
              <w:jc w:val="left"/>
            </w:pPr>
            <w:r>
              <w:t>480,8 m³</w:t>
            </w:r>
          </w:p>
          <w:p>
            <w:pPr>
              <w:jc w:val="left"/>
            </w:pPr>
            <w:r>
              <w:t>(24 días, 85,7%)</w:t>
            </w:r>
          </w:p>
        </w:tc>
        <w:tc>
          <w:tcPr>
            <w:tcW w:type="dxa" w:w="1440"/>
            <w:noWrap/>
          </w:tcPr>
          <w:p>
            <w:pPr>
              <w:jc w:val="left"/>
            </w:pPr>
            <w:r>
              <w:t>1.648,6 m³</w:t>
            </w:r>
          </w:p>
          <w:p>
            <w:pPr>
              <w:jc w:val="left"/>
            </w:pPr>
            <w:r>
              <w:t>(75,9%)</w:t>
            </w:r>
          </w:p>
        </w:tc>
      </w:tr>
      <w:tr>
        <w:tc>
          <w:tcPr>
            <w:tcW w:type="dxa" w:w="1440"/>
            <w:noWrap/>
          </w:tcPr>
          <w:p>
            <w:r>
              <w:t>2</w:t>
            </w:r>
          </w:p>
        </w:tc>
        <w:tc>
          <w:tcPr>
            <w:tcW w:type="dxa" w:w="1440"/>
            <w:noWrap/>
          </w:tcPr>
          <w:p>
            <w:r>
              <w:t>Unión Nacional Árabe</w:t>
            </w:r>
          </w:p>
        </w:tc>
        <w:tc>
          <w:tcPr>
            <w:tcW w:type="dxa" w:w="1440"/>
            <w:noWrap/>
          </w:tcPr>
          <w:p>
            <w:r>
              <w:t>1.520,6</w:t>
            </w:r>
          </w:p>
        </w:tc>
        <w:tc>
          <w:tcPr>
            <w:tcW w:type="dxa" w:w="1440"/>
            <w:noWrap/>
          </w:tcPr>
          <w:p>
            <w:r>
              <w:t>2</w:t>
            </w:r>
          </w:p>
        </w:tc>
        <w:tc>
          <w:tcPr>
            <w:tcW w:type="dxa" w:w="1440"/>
            <w:noWrap/>
          </w:tcPr>
          <w:p>
            <w:pPr>
              <w:jc w:val="left"/>
            </w:pPr>
            <w:r>
              <w:t>396 m³</w:t>
            </w:r>
          </w:p>
          <w:p>
            <w:pPr>
              <w:jc w:val="left"/>
            </w:pPr>
            <w:r>
              <w:t>(28 días, 100%)</w:t>
            </w:r>
          </w:p>
        </w:tc>
        <w:tc>
          <w:tcPr>
            <w:tcW w:type="dxa" w:w="1440"/>
            <w:noWrap/>
          </w:tcPr>
          <w:p>
            <w:pPr>
              <w:jc w:val="left"/>
            </w:pPr>
            <w:r>
              <w:t>1.357,6 m³</w:t>
            </w:r>
          </w:p>
          <w:p>
            <w:pPr>
              <w:jc w:val="left"/>
            </w:pPr>
            <w:r>
              <w:t>(89,3%)</w:t>
            </w:r>
          </w:p>
        </w:tc>
      </w:tr>
      <w:tr>
        <w:tc>
          <w:tcPr>
            <w:tcW w:type="dxa" w:w="1440"/>
            <w:noWrap/>
          </w:tcPr>
          <w:p>
            <w:r>
              <w:t>3</w:t>
            </w:r>
          </w:p>
        </w:tc>
        <w:tc>
          <w:tcPr>
            <w:tcW w:type="dxa" w:w="1440"/>
            <w:noWrap/>
          </w:tcPr>
          <w:p>
            <w:r>
              <w:t>Luis Arrieta Caña</w:t>
            </w:r>
          </w:p>
        </w:tc>
        <w:tc>
          <w:tcPr>
            <w:tcW w:type="dxa" w:w="1440"/>
            <w:noWrap/>
          </w:tcPr>
          <w:p>
            <w:r>
              <w:t>1.110,3</w:t>
            </w:r>
          </w:p>
        </w:tc>
        <w:tc>
          <w:tcPr>
            <w:tcW w:type="dxa" w:w="1440"/>
            <w:noWrap/>
          </w:tcPr>
          <w:p>
            <w:r>
              <w:t>1</w:t>
            </w:r>
          </w:p>
        </w:tc>
        <w:tc>
          <w:tcPr>
            <w:tcW w:type="dxa" w:w="1440"/>
            <w:noWrap/>
          </w:tcPr>
          <w:p>
            <w:pPr>
              <w:jc w:val="left"/>
            </w:pPr>
            <w:r>
              <w:t>297 m³</w:t>
            </w:r>
          </w:p>
          <w:p>
            <w:pPr>
              <w:jc w:val="left"/>
            </w:pPr>
            <w:r>
              <w:t>(20 días, 71,4%)</w:t>
            </w:r>
          </w:p>
        </w:tc>
        <w:tc>
          <w:tcPr>
            <w:tcW w:type="dxa" w:w="1440"/>
            <w:noWrap/>
          </w:tcPr>
          <w:p>
            <w:pPr>
              <w:jc w:val="left"/>
            </w:pPr>
            <w:r>
              <w:t>0,0 m³</w:t>
            </w:r>
          </w:p>
          <w:p>
            <w:pPr>
              <w:jc w:val="left"/>
            </w:pPr>
            <w:r>
              <w:t>(0,0%)</w:t>
            </w:r>
          </w:p>
        </w:tc>
      </w:tr>
      <w:tr>
        <w:tc>
          <w:tcPr>
            <w:tcW w:type="dxa" w:w="1440"/>
            <w:noWrap/>
          </w:tcPr>
          <w:p>
            <w:r>
              <w:t>4</w:t>
            </w:r>
          </w:p>
        </w:tc>
        <w:tc>
          <w:tcPr>
            <w:tcW w:type="dxa" w:w="1440"/>
            <w:noWrap/>
          </w:tcPr>
          <w:p>
            <w:r>
              <w:t>Juan Bautista Pasten</w:t>
            </w:r>
          </w:p>
        </w:tc>
        <w:tc>
          <w:tcPr>
            <w:tcW w:type="dxa" w:w="1440"/>
            <w:noWrap/>
          </w:tcPr>
          <w:p>
            <w:r>
              <w:t>972,9</w:t>
            </w:r>
          </w:p>
        </w:tc>
        <w:tc>
          <w:tcPr>
            <w:tcW w:type="dxa" w:w="1440"/>
            <w:noWrap/>
          </w:tcPr>
          <w:p>
            <w:r>
              <w:t>17</w:t>
            </w:r>
          </w:p>
        </w:tc>
        <w:tc>
          <w:tcPr>
            <w:tcW w:type="dxa" w:w="1440"/>
            <w:noWrap/>
          </w:tcPr>
          <w:p>
            <w:pPr>
              <w:jc w:val="left"/>
            </w:pPr>
            <w:r>
              <w:t>178,5 m³</w:t>
            </w:r>
          </w:p>
          <w:p>
            <w:pPr>
              <w:jc w:val="left"/>
            </w:pPr>
            <w:r>
              <w:t>(24 días, 85,7%)</w:t>
            </w:r>
          </w:p>
        </w:tc>
        <w:tc>
          <w:tcPr>
            <w:tcW w:type="dxa" w:w="1440"/>
            <w:noWrap/>
          </w:tcPr>
          <w:p>
            <w:pPr>
              <w:jc w:val="left"/>
            </w:pPr>
            <w:r>
              <w:t>612 m³</w:t>
            </w:r>
          </w:p>
          <w:p>
            <w:pPr>
              <w:jc w:val="left"/>
            </w:pPr>
            <w:r>
              <w:t>(62,9%)</w:t>
            </w:r>
          </w:p>
        </w:tc>
      </w:tr>
      <w:tr>
        <w:tc>
          <w:tcPr>
            <w:tcW w:type="dxa" w:w="1440"/>
            <w:noWrap/>
          </w:tcPr>
          <w:p>
            <w:r>
              <w:t>5</w:t>
            </w:r>
          </w:p>
        </w:tc>
        <w:tc>
          <w:tcPr>
            <w:tcW w:type="dxa" w:w="1440"/>
            <w:noWrap/>
          </w:tcPr>
          <w:p>
            <w:r>
              <w:t>Eduardo de la Barra</w:t>
            </w:r>
          </w:p>
        </w:tc>
        <w:tc>
          <w:tcPr>
            <w:tcW w:type="dxa" w:w="1440"/>
            <w:noWrap/>
          </w:tcPr>
          <w:p>
            <w:r>
              <w:t>713,8</w:t>
            </w:r>
          </w:p>
        </w:tc>
        <w:tc>
          <w:tcPr>
            <w:tcW w:type="dxa" w:w="1440"/>
            <w:noWrap/>
          </w:tcPr>
          <w:p>
            <w:r>
              <w:t>16</w:t>
            </w:r>
          </w:p>
        </w:tc>
        <w:tc>
          <w:tcPr>
            <w:tcW w:type="dxa" w:w="1440"/>
            <w:noWrap/>
          </w:tcPr>
          <w:p>
            <w:pPr>
              <w:jc w:val="left"/>
            </w:pPr>
            <w:r>
              <w:t>193,6 m³</w:t>
            </w:r>
          </w:p>
          <w:p>
            <w:pPr>
              <w:jc w:val="left"/>
            </w:pPr>
            <w:r>
              <w:t>(28 días, 100%)</w:t>
            </w:r>
          </w:p>
        </w:tc>
        <w:tc>
          <w:tcPr>
            <w:tcW w:type="dxa" w:w="1440"/>
            <w:noWrap/>
          </w:tcPr>
          <w:p>
            <w:pPr>
              <w:jc w:val="left"/>
            </w:pPr>
            <w:r>
              <w:t>663,6 m³</w:t>
            </w:r>
          </w:p>
          <w:p>
            <w:pPr>
              <w:jc w:val="left"/>
            </w:pPr>
            <w:r>
              <w:t>(93%)</w:t>
            </w:r>
          </w:p>
        </w:tc>
      </w:tr>
      <w:tr>
        <w:tc>
          <w:tcPr>
            <w:tcW w:type="dxa" w:w="1440"/>
            <w:noWrap/>
          </w:tcPr>
          <w:p>
            <w:r>
              <w:t>6</w:t>
            </w:r>
          </w:p>
        </w:tc>
        <w:tc>
          <w:tcPr>
            <w:tcW w:type="dxa" w:w="1440"/>
            <w:noWrap/>
          </w:tcPr>
          <w:p>
            <w:r>
              <w:t>CE Valle Hermoso</w:t>
            </w:r>
          </w:p>
        </w:tc>
        <w:tc>
          <w:tcPr>
            <w:tcW w:type="dxa" w:w="1440"/>
            <w:noWrap/>
          </w:tcPr>
          <w:p>
            <w:r>
              <w:t>467,9</w:t>
            </w:r>
          </w:p>
        </w:tc>
        <w:tc>
          <w:tcPr>
            <w:tcW w:type="dxa" w:w="1440"/>
            <w:noWrap/>
          </w:tcPr>
          <w:p>
            <w:r>
              <w:t>9</w:t>
            </w:r>
          </w:p>
        </w:tc>
        <w:tc>
          <w:tcPr>
            <w:tcW w:type="dxa" w:w="1440"/>
            <w:noWrap/>
          </w:tcPr>
          <w:p>
            <w:pPr>
              <w:jc w:val="left"/>
            </w:pPr>
            <w:r>
              <w:t>96,2 m³</w:t>
            </w:r>
          </w:p>
          <w:p>
            <w:pPr>
              <w:jc w:val="left"/>
            </w:pPr>
            <w:r>
              <w:t>(17 días, 60,7%)</w:t>
            </w:r>
          </w:p>
        </w:tc>
        <w:tc>
          <w:tcPr>
            <w:tcW w:type="dxa" w:w="1440"/>
            <w:noWrap/>
          </w:tcPr>
          <w:p>
            <w:pPr>
              <w:jc w:val="left"/>
            </w:pPr>
            <w:r>
              <w:t>0,0 m³</w:t>
            </w:r>
          </w:p>
          <w:p>
            <w:pPr>
              <w:jc w:val="left"/>
            </w:pPr>
            <w:r>
              <w:t>(0,0%)</w:t>
            </w:r>
          </w:p>
        </w:tc>
      </w:tr>
      <w:tr>
        <w:tc>
          <w:tcPr>
            <w:tcW w:type="dxa" w:w="1440"/>
            <w:noWrap/>
          </w:tcPr>
          <w:p>
            <w:r>
              <w:t>7</w:t>
            </w:r>
          </w:p>
        </w:tc>
        <w:tc>
          <w:tcPr>
            <w:tcW w:type="dxa" w:w="1440"/>
            <w:noWrap/>
          </w:tcPr>
          <w:p>
            <w:r>
              <w:t>Carlos Fernandez P.</w:t>
            </w:r>
          </w:p>
        </w:tc>
        <w:tc>
          <w:tcPr>
            <w:tcW w:type="dxa" w:w="1440"/>
            <w:noWrap/>
          </w:tcPr>
          <w:p>
            <w:r>
              <w:t>436,4</w:t>
            </w:r>
          </w:p>
        </w:tc>
        <w:tc>
          <w:tcPr>
            <w:tcW w:type="dxa" w:w="1440"/>
            <w:noWrap/>
          </w:tcPr>
          <w:p>
            <w:r>
              <w:t>12</w:t>
            </w:r>
          </w:p>
        </w:tc>
        <w:tc>
          <w:tcPr>
            <w:tcW w:type="dxa" w:w="1440"/>
            <w:noWrap/>
          </w:tcPr>
          <w:p>
            <w:pPr>
              <w:jc w:val="left"/>
            </w:pPr>
            <w:r>
              <w:t>83,1 m³</w:t>
            </w:r>
          </w:p>
          <w:p>
            <w:pPr>
              <w:jc w:val="left"/>
            </w:pPr>
            <w:r>
              <w:t>(27 días, 96,4%)</w:t>
            </w:r>
          </w:p>
        </w:tc>
        <w:tc>
          <w:tcPr>
            <w:tcW w:type="dxa" w:w="1440"/>
            <w:noWrap/>
          </w:tcPr>
          <w:p>
            <w:pPr>
              <w:jc w:val="left"/>
            </w:pPr>
            <w:r>
              <w:t>284,9 m³</w:t>
            </w:r>
          </w:p>
          <w:p>
            <w:pPr>
              <w:jc w:val="left"/>
            </w:pPr>
            <w:r>
              <w:t>(65,3%)</w:t>
            </w:r>
          </w:p>
        </w:tc>
      </w:tr>
      <w:tr>
        <w:tc>
          <w:tcPr>
            <w:tcW w:type="dxa" w:w="1440"/>
            <w:noWrap/>
          </w:tcPr>
          <w:p>
            <w:r>
              <w:t>8</w:t>
            </w:r>
          </w:p>
        </w:tc>
        <w:tc>
          <w:tcPr>
            <w:tcW w:type="dxa" w:w="1440"/>
            <w:noWrap/>
          </w:tcPr>
          <w:p>
            <w:r>
              <w:t>Lic. Antonio Hermida F</w:t>
            </w:r>
          </w:p>
        </w:tc>
        <w:tc>
          <w:tcPr>
            <w:tcW w:type="dxa" w:w="1440"/>
            <w:noWrap/>
          </w:tcPr>
          <w:p>
            <w:r>
              <w:t>391,2</w:t>
            </w:r>
          </w:p>
        </w:tc>
        <w:tc>
          <w:tcPr>
            <w:tcW w:type="dxa" w:w="1440"/>
            <w:noWrap/>
          </w:tcPr>
          <w:p>
            <w:r>
              <w:t>0</w:t>
            </w:r>
          </w:p>
        </w:tc>
        <w:tc>
          <w:tcPr>
            <w:tcW w:type="dxa" w:w="1440"/>
            <w:noWrap/>
          </w:tcPr>
          <w:p>
            <w:pPr>
              <w:jc w:val="left"/>
            </w:pPr>
            <w:r>
              <w:t>45,3 m³</w:t>
            </w:r>
          </w:p>
          <w:p>
            <w:pPr>
              <w:jc w:val="left"/>
            </w:pPr>
            <w:r>
              <w:t>(21 días, 75%)</w:t>
            </w:r>
          </w:p>
        </w:tc>
        <w:tc>
          <w:tcPr>
            <w:tcW w:type="dxa" w:w="1440"/>
            <w:noWrap/>
          </w:tcPr>
          <w:p>
            <w:pPr>
              <w:jc w:val="left"/>
            </w:pPr>
            <w:r>
              <w:t>155,4 m³</w:t>
            </w:r>
          </w:p>
          <w:p>
            <w:pPr>
              <w:jc w:val="left"/>
            </w:pPr>
            <w:r>
              <w:t>(39,7%)</w:t>
            </w:r>
          </w:p>
        </w:tc>
      </w:tr>
      <w:tr>
        <w:tc>
          <w:tcPr>
            <w:tcW w:type="dxa" w:w="1440"/>
            <w:noWrap/>
          </w:tcPr>
          <w:p>
            <w:r>
              <w:t>9</w:t>
            </w:r>
          </w:p>
        </w:tc>
        <w:tc>
          <w:tcPr>
            <w:tcW w:type="dxa" w:w="1440"/>
            <w:noWrap/>
          </w:tcPr>
          <w:p>
            <w:r>
              <w:t>Santa Maria</w:t>
            </w:r>
          </w:p>
        </w:tc>
        <w:tc>
          <w:tcPr>
            <w:tcW w:type="dxa" w:w="1440"/>
            <w:noWrap/>
          </w:tcPr>
          <w:p>
            <w:r>
              <w:t>230,4</w:t>
            </w:r>
          </w:p>
        </w:tc>
        <w:tc>
          <w:tcPr>
            <w:tcW w:type="dxa" w:w="1440"/>
            <w:noWrap/>
          </w:tcPr>
          <w:p>
            <w:r>
              <w:t>8</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10</w:t>
            </w:r>
          </w:p>
        </w:tc>
        <w:tc>
          <w:tcPr>
            <w:tcW w:type="dxa" w:w="1440"/>
            <w:noWrap/>
          </w:tcPr>
          <w:p>
            <w:r>
              <w:t>Likankura</w:t>
            </w:r>
          </w:p>
        </w:tc>
        <w:tc>
          <w:tcPr>
            <w:tcW w:type="dxa" w:w="1440"/>
            <w:noWrap/>
          </w:tcPr>
          <w:p>
            <w:r>
              <w:t>228</w:t>
            </w:r>
          </w:p>
        </w:tc>
        <w:tc>
          <w:tcPr>
            <w:tcW w:type="dxa" w:w="1440"/>
            <w:noWrap/>
          </w:tcPr>
          <w:p>
            <w:r>
              <w:t>5</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Juan Pablo II</w:t>
            </w:r>
          </w:p>
        </w:tc>
        <w:tc>
          <w:tcPr>
            <w:tcW w:type="dxa" w:w="1440"/>
            <w:noWrap/>
          </w:tcPr>
          <w:p>
            <w:r>
              <w:t>97,7</w:t>
            </w:r>
          </w:p>
        </w:tc>
        <w:tc>
          <w:tcPr>
            <w:tcW w:type="dxa" w:w="1440"/>
            <w:noWrap/>
          </w:tcPr>
          <w:p>
            <w:r>
              <w:t>6</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Erasmo Escala</w:t>
            </w:r>
          </w:p>
        </w:tc>
        <w:tc>
          <w:tcPr>
            <w:tcW w:type="dxa" w:w="1440"/>
            <w:noWrap/>
          </w:tcPr>
          <w:p>
            <w:r>
              <w:t>96,9</w:t>
            </w:r>
          </w:p>
        </w:tc>
        <w:tc>
          <w:tcPr>
            <w:tcW w:type="dxa" w:w="1440"/>
            <w:noWrap/>
          </w:tcPr>
          <w:p>
            <w:r>
              <w:t>3</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13</w:t>
            </w:r>
          </w:p>
        </w:tc>
        <w:tc>
          <w:tcPr>
            <w:tcW w:type="dxa" w:w="1440"/>
            <w:noWrap/>
          </w:tcPr>
          <w:p>
            <w:r>
              <w:t>Matilde Huici Navas</w:t>
            </w:r>
          </w:p>
        </w:tc>
        <w:tc>
          <w:tcPr>
            <w:tcW w:type="dxa" w:w="1440"/>
            <w:noWrap/>
          </w:tcPr>
          <w:p>
            <w:r>
              <w:t>94,3</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14</w:t>
            </w:r>
          </w:p>
        </w:tc>
        <w:tc>
          <w:tcPr>
            <w:tcW w:type="dxa" w:w="1440"/>
            <w:noWrap/>
          </w:tcPr>
          <w:p>
            <w:r>
              <w:t>Alicura</w:t>
            </w:r>
          </w:p>
        </w:tc>
        <w:tc>
          <w:tcPr>
            <w:tcW w:type="dxa" w:w="1440"/>
            <w:noWrap/>
          </w:tcPr>
          <w:p>
            <w:r>
              <w:t>35,7</w:t>
            </w:r>
          </w:p>
        </w:tc>
        <w:tc>
          <w:tcPr>
            <w:tcW w:type="dxa" w:w="1440"/>
            <w:noWrap/>
          </w:tcPr>
          <w:p>
            <w:r>
              <w:t>17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8.568,7</w:t>
            </w:r>
          </w:p>
        </w:tc>
        <w:tc>
          <w:tcPr>
            <w:tcW w:type="dxa" w:w="1440"/>
            <w:noWrap/>
            <w:shd w:val="clear" w:fill="FFE6E6"/>
          </w:tcPr>
          <w:p>
            <w:pPr>
              <w:jc w:val="left"/>
            </w:pPr>
            <w:r>
              <w:rPr>
                <w:b/>
                <w:color w:val="FF0000"/>
              </w:rPr>
              <w:t>107</w:t>
            </w:r>
          </w:p>
        </w:tc>
        <w:tc>
          <w:tcPr>
            <w:tcW w:type="dxa" w:w="1440"/>
            <w:noWrap/>
            <w:shd w:val="clear" w:fill="FFE6E6"/>
          </w:tcPr>
          <w:p>
            <w:pPr>
              <w:jc w:val="left"/>
            </w:pPr>
            <w:r>
              <w:rPr>
                <w:b/>
                <w:color w:val="FF0000"/>
              </w:rPr>
              <w:t>1.770,5 m³</w:t>
            </w:r>
          </w:p>
        </w:tc>
        <w:tc>
          <w:tcPr>
            <w:tcW w:type="dxa" w:w="1440"/>
            <w:noWrap/>
            <w:shd w:val="clear" w:fill="FFE6E6"/>
          </w:tcPr>
          <w:p>
            <w:pPr>
              <w:jc w:val="left"/>
            </w:pPr>
            <w:r>
              <w:rPr>
                <w:b/>
                <w:color w:val="FF0000"/>
              </w:rPr>
              <w:t>4.722,2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Unión Nacional Árabe, Juan Bautista Pasten, Eduardo de la Barra, Carlos Fernandez P. y Lic. Antonio Hermida F.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