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CORMUP</w:t>
      </w:r>
    </w:p>
    <w:p>
      <w:pPr>
        <w:jc w:val="center"/>
      </w:pPr>
      <w:r>
        <w:t>MONITOREO WES</w:t>
        <w:br/>
        <w:t>Análisis consolidado de 14 puntos de monitoreo</w:t>
        <w:br/>
        <w:t>Rango: 01-05-26 - 31-05-26</w:t>
        <w:br/>
        <w:t>Generado: 10-06-26 18:48</w:t>
      </w:r>
    </w:p>
    <w:p>
      <w:pPr>
        <w:pStyle w:val="Heading1"/>
        <w:keepNext/>
        <w:widowControl/>
        <w:spacing w:after="60"/>
      </w:pPr>
      <w:r>
        <w:rPr>
          <w:b/>
          <w:color w:val="003366"/>
        </w:rPr>
        <w:t>RESUMEN EJECUTIVO AGREGADO</w:t>
      </w:r>
    </w:p>
    <w:p>
      <w:r>
        <w:t>Puntos de monitoreo analizados: 14.</w:t>
        <w:br/>
      </w:r>
      <w:r>
        <w:t>Consumo total agregado: 9.476,4 m³.</w:t>
        <w:br/>
      </w:r>
      <w:r>
        <w:t>Consumo promedio por punto: 676,9 m³.</w:t>
        <w:br/>
      </w:r>
      <w:r>
        <w:t>Total de alertas registradas: 128.</w:t>
        <w:br/>
      </w:r>
      <w:r>
        <w:t>Promedio de alerta agregado: 0,4 m³/h.</w:t>
        <w:br/>
      </w:r>
      <w:r>
        <w:t>Proyección diaria de consumo nocturno agregada: 10,4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Tobalaba, con un total de 2.377 m³ durante el periodo analizado. Este valor representa un 251,2% por encima del promedio (676,9 m³ por punto), indicando una demanda significativamente superior a la media. Por otro lado, el punto con menor consumo es Alicura, con un total de 41,4 m³. Este valor representa un 93,9% por debajo del promedio, mostrando una demanda significativamente inferior. La diferencia entre el punto de mayor y menor consumo es considerable, siendo el consumo máximo aproximadamente 57,5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337"/>
        <w:gridCol w:w="1094"/>
        <w:gridCol w:w="973"/>
        <w:gridCol w:w="1520"/>
        <w:gridCol w:w="1459"/>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Tobalaba</w:t>
            </w:r>
          </w:p>
        </w:tc>
        <w:tc>
          <w:tcPr>
            <w:tcW w:type="dxa" w:w="1440"/>
            <w:noWrap/>
          </w:tcPr>
          <w:p>
            <w:r>
              <w:t>2.377</w:t>
            </w:r>
          </w:p>
        </w:tc>
        <w:tc>
          <w:tcPr>
            <w:tcW w:type="dxa" w:w="1440"/>
            <w:noWrap/>
          </w:tcPr>
          <w:p>
            <w:r>
              <w:t>0</w:t>
            </w:r>
          </w:p>
        </w:tc>
        <w:tc>
          <w:tcPr>
            <w:tcW w:type="dxa" w:w="1440"/>
            <w:noWrap/>
          </w:tcPr>
          <w:p>
            <w:pPr>
              <w:jc w:val="left"/>
            </w:pPr>
            <w:r>
              <w:t>141,8 m³</w:t>
            </w:r>
          </w:p>
          <w:p>
            <w:pPr>
              <w:jc w:val="left"/>
            </w:pPr>
            <w:r>
              <w:t>(26 días, 83,9%)</w:t>
            </w:r>
          </w:p>
        </w:tc>
        <w:tc>
          <w:tcPr>
            <w:tcW w:type="dxa" w:w="1440"/>
            <w:noWrap/>
          </w:tcPr>
          <w:p>
            <w:pPr>
              <w:jc w:val="left"/>
            </w:pPr>
            <w:r>
              <w:t>425,4 m³</w:t>
            </w:r>
          </w:p>
          <w:p>
            <w:pPr>
              <w:jc w:val="left"/>
            </w:pPr>
            <w:r>
              <w:t>(17,9%)</w:t>
            </w:r>
          </w:p>
        </w:tc>
      </w:tr>
      <w:tr>
        <w:tc>
          <w:tcPr>
            <w:tcW w:type="dxa" w:w="1440"/>
            <w:noWrap/>
          </w:tcPr>
          <w:p>
            <w:r>
              <w:t>2</w:t>
            </w:r>
          </w:p>
        </w:tc>
        <w:tc>
          <w:tcPr>
            <w:tcW w:type="dxa" w:w="1440"/>
            <w:noWrap/>
          </w:tcPr>
          <w:p>
            <w:r>
              <w:t>Unión Nacional Árabe</w:t>
            </w:r>
          </w:p>
        </w:tc>
        <w:tc>
          <w:tcPr>
            <w:tcW w:type="dxa" w:w="1440"/>
            <w:noWrap/>
          </w:tcPr>
          <w:p>
            <w:r>
              <w:t>1.700,5</w:t>
            </w:r>
          </w:p>
        </w:tc>
        <w:tc>
          <w:tcPr>
            <w:tcW w:type="dxa" w:w="1440"/>
            <w:noWrap/>
          </w:tcPr>
          <w:p>
            <w:r>
              <w:t>2</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3</w:t>
            </w:r>
          </w:p>
        </w:tc>
        <w:tc>
          <w:tcPr>
            <w:tcW w:type="dxa" w:w="1440"/>
            <w:noWrap/>
          </w:tcPr>
          <w:p>
            <w:r>
              <w:t>Luis Arrieta Caña</w:t>
            </w:r>
          </w:p>
        </w:tc>
        <w:tc>
          <w:tcPr>
            <w:tcW w:type="dxa" w:w="1440"/>
            <w:noWrap/>
          </w:tcPr>
          <w:p>
            <w:r>
              <w:t>1.213,9</w:t>
            </w:r>
          </w:p>
        </w:tc>
        <w:tc>
          <w:tcPr>
            <w:tcW w:type="dxa" w:w="1440"/>
            <w:noWrap/>
          </w:tcPr>
          <w:p>
            <w:r>
              <w:t>1</w:t>
            </w:r>
          </w:p>
        </w:tc>
        <w:tc>
          <w:tcPr>
            <w:tcW w:type="dxa" w:w="1440"/>
            <w:noWrap/>
          </w:tcPr>
          <w:p>
            <w:pPr>
              <w:jc w:val="left"/>
            </w:pPr>
            <w:r>
              <w:t>118,8 m³</w:t>
            </w:r>
          </w:p>
          <w:p>
            <w:pPr>
              <w:jc w:val="left"/>
            </w:pPr>
            <w:r>
              <w:t>(21 días, 67,7%)</w:t>
            </w:r>
          </w:p>
        </w:tc>
        <w:tc>
          <w:tcPr>
            <w:tcW w:type="dxa" w:w="1440"/>
            <w:noWrap/>
          </w:tcPr>
          <w:p>
            <w:pPr>
              <w:jc w:val="left"/>
            </w:pPr>
            <w:r>
              <w:t>0,0 m³</w:t>
            </w:r>
          </w:p>
          <w:p>
            <w:pPr>
              <w:jc w:val="left"/>
            </w:pPr>
            <w:r>
              <w:t>(0,0%)</w:t>
            </w:r>
          </w:p>
        </w:tc>
      </w:tr>
      <w:tr>
        <w:tc>
          <w:tcPr>
            <w:tcW w:type="dxa" w:w="1440"/>
            <w:noWrap/>
          </w:tcPr>
          <w:p>
            <w:r>
              <w:t>4</w:t>
            </w:r>
          </w:p>
        </w:tc>
        <w:tc>
          <w:tcPr>
            <w:tcW w:type="dxa" w:w="1440"/>
            <w:noWrap/>
          </w:tcPr>
          <w:p>
            <w:r>
              <w:t>Juan Bautista Pasten</w:t>
            </w:r>
          </w:p>
        </w:tc>
        <w:tc>
          <w:tcPr>
            <w:tcW w:type="dxa" w:w="1440"/>
            <w:noWrap/>
          </w:tcPr>
          <w:p>
            <w:r>
              <w:t>1.132,4</w:t>
            </w:r>
          </w:p>
        </w:tc>
        <w:tc>
          <w:tcPr>
            <w:tcW w:type="dxa" w:w="1440"/>
            <w:noWrap/>
          </w:tcPr>
          <w:p>
            <w:r>
              <w:t>18</w:t>
            </w:r>
          </w:p>
        </w:tc>
        <w:tc>
          <w:tcPr>
            <w:tcW w:type="dxa" w:w="1440"/>
            <w:noWrap/>
          </w:tcPr>
          <w:p>
            <w:pPr>
              <w:jc w:val="left"/>
            </w:pPr>
            <w:r>
              <w:t>0,1 m³</w:t>
            </w:r>
          </w:p>
          <w:p>
            <w:pPr>
              <w:jc w:val="left"/>
            </w:pPr>
            <w:r>
              <w:t>(1 días, 3,2%)</w:t>
            </w:r>
          </w:p>
        </w:tc>
        <w:tc>
          <w:tcPr>
            <w:tcW w:type="dxa" w:w="1440"/>
            <w:noWrap/>
          </w:tcPr>
          <w:p>
            <w:pPr>
              <w:jc w:val="left"/>
            </w:pPr>
            <w:r>
              <w:t>0,0 m³</w:t>
            </w:r>
          </w:p>
          <w:p>
            <w:pPr>
              <w:jc w:val="left"/>
            </w:pPr>
            <w:r>
              <w:t>(0,0%)</w:t>
            </w:r>
          </w:p>
        </w:tc>
      </w:tr>
      <w:tr>
        <w:tc>
          <w:tcPr>
            <w:tcW w:type="dxa" w:w="1440"/>
            <w:noWrap/>
          </w:tcPr>
          <w:p>
            <w:r>
              <w:t>5</w:t>
            </w:r>
          </w:p>
        </w:tc>
        <w:tc>
          <w:tcPr>
            <w:tcW w:type="dxa" w:w="1440"/>
            <w:noWrap/>
          </w:tcPr>
          <w:p>
            <w:r>
              <w:t>Eduardo de la Barra</w:t>
            </w:r>
          </w:p>
        </w:tc>
        <w:tc>
          <w:tcPr>
            <w:tcW w:type="dxa" w:w="1440"/>
            <w:noWrap/>
          </w:tcPr>
          <w:p>
            <w:r>
              <w:t>750,8</w:t>
            </w:r>
          </w:p>
        </w:tc>
        <w:tc>
          <w:tcPr>
            <w:tcW w:type="dxa" w:w="1440"/>
            <w:noWrap/>
          </w:tcPr>
          <w:p>
            <w:r>
              <w:t>17</w:t>
            </w:r>
          </w:p>
        </w:tc>
        <w:tc>
          <w:tcPr>
            <w:tcW w:type="dxa" w:w="1440"/>
            <w:noWrap/>
          </w:tcPr>
          <w:p>
            <w:pPr>
              <w:jc w:val="left"/>
            </w:pPr>
            <w:r>
              <w:t>200,2 m³</w:t>
            </w:r>
          </w:p>
          <w:p>
            <w:pPr>
              <w:jc w:val="left"/>
            </w:pPr>
            <w:r>
              <w:t>(31 días, 100%)</w:t>
            </w:r>
          </w:p>
        </w:tc>
        <w:tc>
          <w:tcPr>
            <w:tcW w:type="dxa" w:w="1440"/>
            <w:noWrap/>
          </w:tcPr>
          <w:p>
            <w:pPr>
              <w:jc w:val="left"/>
            </w:pPr>
            <w:r>
              <w:t>600,7 m³</w:t>
            </w:r>
          </w:p>
          <w:p>
            <w:pPr>
              <w:jc w:val="left"/>
            </w:pPr>
            <w:r>
              <w:t>(80%)</w:t>
            </w:r>
          </w:p>
        </w:tc>
      </w:tr>
      <w:tr>
        <w:tc>
          <w:tcPr>
            <w:tcW w:type="dxa" w:w="1440"/>
            <w:noWrap/>
          </w:tcPr>
          <w:p>
            <w:r>
              <w:t>6</w:t>
            </w:r>
          </w:p>
        </w:tc>
        <w:tc>
          <w:tcPr>
            <w:tcW w:type="dxa" w:w="1440"/>
            <w:noWrap/>
          </w:tcPr>
          <w:p>
            <w:r>
              <w:t>CE Valle Hermoso</w:t>
            </w:r>
          </w:p>
        </w:tc>
        <w:tc>
          <w:tcPr>
            <w:tcW w:type="dxa" w:w="1440"/>
            <w:noWrap/>
          </w:tcPr>
          <w:p>
            <w:r>
              <w:t>529,6</w:t>
            </w:r>
          </w:p>
        </w:tc>
        <w:tc>
          <w:tcPr>
            <w:tcW w:type="dxa" w:w="1440"/>
            <w:noWrap/>
          </w:tcPr>
          <w:p>
            <w:r>
              <w:t>9</w:t>
            </w:r>
          </w:p>
        </w:tc>
        <w:tc>
          <w:tcPr>
            <w:tcW w:type="dxa" w:w="1440"/>
            <w:noWrap/>
          </w:tcPr>
          <w:p>
            <w:pPr>
              <w:jc w:val="left"/>
            </w:pPr>
            <w:r>
              <w:t>8,6 m³</w:t>
            </w:r>
          </w:p>
          <w:p>
            <w:pPr>
              <w:jc w:val="left"/>
            </w:pPr>
            <w:r>
              <w:t>(17 días, 54,8%)</w:t>
            </w:r>
          </w:p>
        </w:tc>
        <w:tc>
          <w:tcPr>
            <w:tcW w:type="dxa" w:w="1440"/>
            <w:noWrap/>
          </w:tcPr>
          <w:p>
            <w:pPr>
              <w:jc w:val="left"/>
            </w:pPr>
            <w:r>
              <w:t>0,0 m³</w:t>
            </w:r>
          </w:p>
          <w:p>
            <w:pPr>
              <w:jc w:val="left"/>
            </w:pPr>
            <w:r>
              <w:t>(0,0%)</w:t>
            </w:r>
          </w:p>
        </w:tc>
      </w:tr>
      <w:tr>
        <w:tc>
          <w:tcPr>
            <w:tcW w:type="dxa" w:w="1440"/>
            <w:noWrap/>
          </w:tcPr>
          <w:p>
            <w:r>
              <w:t>7</w:t>
            </w:r>
          </w:p>
        </w:tc>
        <w:tc>
          <w:tcPr>
            <w:tcW w:type="dxa" w:w="1440"/>
            <w:noWrap/>
          </w:tcPr>
          <w:p>
            <w:r>
              <w:t>Carlos Fernandez P.</w:t>
            </w:r>
          </w:p>
        </w:tc>
        <w:tc>
          <w:tcPr>
            <w:tcW w:type="dxa" w:w="1440"/>
            <w:noWrap/>
          </w:tcPr>
          <w:p>
            <w:r>
              <w:t>477,2</w:t>
            </w:r>
          </w:p>
        </w:tc>
        <w:tc>
          <w:tcPr>
            <w:tcW w:type="dxa" w:w="1440"/>
            <w:noWrap/>
          </w:tcPr>
          <w:p>
            <w:r>
              <w:t>14</w:t>
            </w:r>
          </w:p>
        </w:tc>
        <w:tc>
          <w:tcPr>
            <w:tcW w:type="dxa" w:w="1440"/>
            <w:noWrap/>
          </w:tcPr>
          <w:p>
            <w:pPr>
              <w:jc w:val="left"/>
            </w:pPr>
            <w:r>
              <w:t>15,9 m³</w:t>
            </w:r>
          </w:p>
          <w:p>
            <w:pPr>
              <w:jc w:val="left"/>
            </w:pPr>
            <w:r>
              <w:t>(29 días, 93,5%)</w:t>
            </w:r>
          </w:p>
        </w:tc>
        <w:tc>
          <w:tcPr>
            <w:tcW w:type="dxa" w:w="1440"/>
            <w:noWrap/>
          </w:tcPr>
          <w:p>
            <w:pPr>
              <w:jc w:val="left"/>
            </w:pPr>
            <w:r>
              <w:t>47,7 m³</w:t>
            </w:r>
          </w:p>
          <w:p>
            <w:pPr>
              <w:jc w:val="left"/>
            </w:pPr>
            <w:r>
              <w:t>(10%)</w:t>
            </w:r>
          </w:p>
        </w:tc>
      </w:tr>
      <w:tr>
        <w:tc>
          <w:tcPr>
            <w:tcW w:type="dxa" w:w="1440"/>
            <w:noWrap/>
          </w:tcPr>
          <w:p>
            <w:r>
              <w:t>8</w:t>
            </w:r>
          </w:p>
        </w:tc>
        <w:tc>
          <w:tcPr>
            <w:tcW w:type="dxa" w:w="1440"/>
            <w:noWrap/>
          </w:tcPr>
          <w:p>
            <w:r>
              <w:t>Lic. Antonio Hermida F</w:t>
            </w:r>
          </w:p>
        </w:tc>
        <w:tc>
          <w:tcPr>
            <w:tcW w:type="dxa" w:w="1440"/>
            <w:noWrap/>
          </w:tcPr>
          <w:p>
            <w:r>
              <w:t>423,9</w:t>
            </w:r>
          </w:p>
        </w:tc>
        <w:tc>
          <w:tcPr>
            <w:tcW w:type="dxa" w:w="1440"/>
            <w:noWrap/>
          </w:tcPr>
          <w:p>
            <w:r>
              <w:t>0</w:t>
            </w:r>
          </w:p>
        </w:tc>
        <w:tc>
          <w:tcPr>
            <w:tcW w:type="dxa" w:w="1440"/>
            <w:noWrap/>
          </w:tcPr>
          <w:p>
            <w:pPr>
              <w:jc w:val="left"/>
            </w:pPr>
            <w:r>
              <w:t>1,1 m³</w:t>
            </w:r>
          </w:p>
          <w:p>
            <w:pPr>
              <w:jc w:val="left"/>
            </w:pPr>
            <w:r>
              <w:t>(10 días, 32,3%)</w:t>
            </w:r>
          </w:p>
        </w:tc>
        <w:tc>
          <w:tcPr>
            <w:tcW w:type="dxa" w:w="1440"/>
            <w:noWrap/>
          </w:tcPr>
          <w:p>
            <w:pPr>
              <w:jc w:val="left"/>
            </w:pPr>
            <w:r>
              <w:t>0,0 m³</w:t>
            </w:r>
          </w:p>
          <w:p>
            <w:pPr>
              <w:jc w:val="left"/>
            </w:pPr>
            <w:r>
              <w:t>(0,0%)</w:t>
            </w:r>
          </w:p>
        </w:tc>
      </w:tr>
      <w:tr>
        <w:tc>
          <w:tcPr>
            <w:tcW w:type="dxa" w:w="1440"/>
            <w:noWrap/>
          </w:tcPr>
          <w:p>
            <w:r>
              <w:t>9</w:t>
            </w:r>
          </w:p>
        </w:tc>
        <w:tc>
          <w:tcPr>
            <w:tcW w:type="dxa" w:w="1440"/>
            <w:noWrap/>
          </w:tcPr>
          <w:p>
            <w:r>
              <w:t>Santa Maria</w:t>
            </w:r>
          </w:p>
        </w:tc>
        <w:tc>
          <w:tcPr>
            <w:tcW w:type="dxa" w:w="1440"/>
            <w:noWrap/>
          </w:tcPr>
          <w:p>
            <w:r>
              <w:t>269,9</w:t>
            </w:r>
          </w:p>
        </w:tc>
        <w:tc>
          <w:tcPr>
            <w:tcW w:type="dxa" w:w="1440"/>
            <w:noWrap/>
          </w:tcPr>
          <w:p>
            <w:r>
              <w:t>8</w:t>
            </w:r>
          </w:p>
        </w:tc>
        <w:tc>
          <w:tcPr>
            <w:tcW w:type="dxa" w:w="1440"/>
            <w:noWrap/>
          </w:tcPr>
          <w:p>
            <w:pPr>
              <w:jc w:val="left"/>
            </w:pPr>
            <w:r>
              <w:t>24,9 m³</w:t>
            </w:r>
          </w:p>
          <w:p>
            <w:pPr>
              <w:jc w:val="left"/>
            </w:pPr>
            <w:r>
              <w:t>(18 días, 58,1%)</w:t>
            </w:r>
          </w:p>
        </w:tc>
        <w:tc>
          <w:tcPr>
            <w:tcW w:type="dxa" w:w="1440"/>
            <w:noWrap/>
          </w:tcPr>
          <w:p>
            <w:pPr>
              <w:jc w:val="left"/>
            </w:pPr>
            <w:r>
              <w:t>0,0 m³</w:t>
            </w:r>
          </w:p>
          <w:p>
            <w:pPr>
              <w:jc w:val="left"/>
            </w:pPr>
            <w:r>
              <w:t>(0,0%)</w:t>
            </w:r>
          </w:p>
        </w:tc>
      </w:tr>
      <w:tr>
        <w:tc>
          <w:tcPr>
            <w:tcW w:type="dxa" w:w="1440"/>
            <w:noWrap/>
          </w:tcPr>
          <w:p>
            <w:r>
              <w:t>10</w:t>
            </w:r>
          </w:p>
        </w:tc>
        <w:tc>
          <w:tcPr>
            <w:tcW w:type="dxa" w:w="1440"/>
            <w:noWrap/>
          </w:tcPr>
          <w:p>
            <w:r>
              <w:t>Likankura</w:t>
            </w:r>
          </w:p>
        </w:tc>
        <w:tc>
          <w:tcPr>
            <w:tcW w:type="dxa" w:w="1440"/>
            <w:noWrap/>
          </w:tcPr>
          <w:p>
            <w:r>
              <w:t>245</w:t>
            </w:r>
          </w:p>
        </w:tc>
        <w:tc>
          <w:tcPr>
            <w:tcW w:type="dxa" w:w="1440"/>
            <w:noWrap/>
          </w:tcPr>
          <w:p>
            <w:r>
              <w:t>12</w:t>
            </w:r>
          </w:p>
        </w:tc>
        <w:tc>
          <w:tcPr>
            <w:tcW w:type="dxa" w:w="1440"/>
            <w:noWrap/>
          </w:tcPr>
          <w:p>
            <w:pPr>
              <w:jc w:val="left"/>
            </w:pPr>
            <w:r>
              <w:t>20,5 m³</w:t>
            </w:r>
          </w:p>
          <w:p>
            <w:pPr>
              <w:jc w:val="left"/>
            </w:pPr>
            <w:r>
              <w:t>(25 días, 80,6%)</w:t>
            </w:r>
          </w:p>
        </w:tc>
        <w:tc>
          <w:tcPr>
            <w:tcW w:type="dxa" w:w="1440"/>
            <w:noWrap/>
          </w:tcPr>
          <w:p>
            <w:pPr>
              <w:jc w:val="left"/>
            </w:pPr>
            <w:r>
              <w:t>61,4 m³</w:t>
            </w:r>
          </w:p>
          <w:p>
            <w:pPr>
              <w:jc w:val="left"/>
            </w:pPr>
            <w:r>
              <w:t>(25,1%)</w:t>
            </w:r>
          </w:p>
        </w:tc>
      </w:tr>
      <w:tr>
        <w:tc>
          <w:tcPr>
            <w:tcW w:type="dxa" w:w="1440"/>
            <w:noWrap/>
          </w:tcPr>
          <w:p>
            <w:r>
              <w:t>11</w:t>
            </w:r>
          </w:p>
        </w:tc>
        <w:tc>
          <w:tcPr>
            <w:tcW w:type="dxa" w:w="1440"/>
            <w:noWrap/>
          </w:tcPr>
          <w:p>
            <w:r>
              <w:t>Erasmo Escala</w:t>
            </w:r>
          </w:p>
        </w:tc>
        <w:tc>
          <w:tcPr>
            <w:tcW w:type="dxa" w:w="1440"/>
            <w:noWrap/>
          </w:tcPr>
          <w:p>
            <w:r>
              <w:t>106</w:t>
            </w:r>
          </w:p>
        </w:tc>
        <w:tc>
          <w:tcPr>
            <w:tcW w:type="dxa" w:w="1440"/>
            <w:noWrap/>
          </w:tcPr>
          <w:p>
            <w:r>
              <w:t>3</w:t>
            </w:r>
          </w:p>
        </w:tc>
        <w:tc>
          <w:tcPr>
            <w:tcW w:type="dxa" w:w="1440"/>
            <w:noWrap/>
          </w:tcPr>
          <w:p>
            <w:pPr>
              <w:jc w:val="left"/>
            </w:pPr>
            <w:r>
              <w:t>13,9 m³</w:t>
            </w:r>
          </w:p>
          <w:p>
            <w:pPr>
              <w:jc w:val="left"/>
            </w:pPr>
            <w:r>
              <w:t>(11 días, 44%)</w:t>
            </w:r>
          </w:p>
        </w:tc>
        <w:tc>
          <w:tcPr>
            <w:tcW w:type="dxa" w:w="1440"/>
            <w:noWrap/>
          </w:tcPr>
          <w:p>
            <w:pPr>
              <w:jc w:val="left"/>
            </w:pPr>
            <w:r>
              <w:t>0,0 m³</w:t>
            </w:r>
          </w:p>
          <w:p>
            <w:pPr>
              <w:jc w:val="left"/>
            </w:pPr>
            <w:r>
              <w:t>(0,0%)</w:t>
            </w:r>
          </w:p>
        </w:tc>
      </w:tr>
      <w:tr>
        <w:tc>
          <w:tcPr>
            <w:tcW w:type="dxa" w:w="1440"/>
            <w:noWrap/>
          </w:tcPr>
          <w:p>
            <w:r>
              <w:t>12</w:t>
            </w:r>
          </w:p>
        </w:tc>
        <w:tc>
          <w:tcPr>
            <w:tcW w:type="dxa" w:w="1440"/>
            <w:noWrap/>
          </w:tcPr>
          <w:p>
            <w:r>
              <w:t>Juan Pablo II</w:t>
            </w:r>
          </w:p>
        </w:tc>
        <w:tc>
          <w:tcPr>
            <w:tcW w:type="dxa" w:w="1440"/>
            <w:noWrap/>
          </w:tcPr>
          <w:p>
            <w:r>
              <w:t>105,5</w:t>
            </w:r>
          </w:p>
        </w:tc>
        <w:tc>
          <w:tcPr>
            <w:tcW w:type="dxa" w:w="1440"/>
            <w:noWrap/>
          </w:tcPr>
          <w:p>
            <w:r>
              <w:t>9</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13</w:t>
            </w:r>
          </w:p>
        </w:tc>
        <w:tc>
          <w:tcPr>
            <w:tcW w:type="dxa" w:w="1440"/>
            <w:noWrap/>
          </w:tcPr>
          <w:p>
            <w:r>
              <w:t>Matilde Huici Navas</w:t>
            </w:r>
          </w:p>
        </w:tc>
        <w:tc>
          <w:tcPr>
            <w:tcW w:type="dxa" w:w="1440"/>
            <w:noWrap/>
          </w:tcPr>
          <w:p>
            <w:r>
              <w:t>103,4</w:t>
            </w:r>
          </w:p>
        </w:tc>
        <w:tc>
          <w:tcPr>
            <w:tcW w:type="dxa" w:w="1440"/>
            <w:noWrap/>
          </w:tcPr>
          <w:p>
            <w:r>
              <w:t>13</w:t>
            </w:r>
          </w:p>
        </w:tc>
        <w:tc>
          <w:tcPr>
            <w:tcW w:type="dxa" w:w="1440"/>
            <w:noWrap/>
          </w:tcPr>
          <w:p>
            <w:pPr>
              <w:jc w:val="left"/>
            </w:pPr>
            <w:r>
              <w:t>0,2 m³</w:t>
            </w:r>
          </w:p>
          <w:p>
            <w:pPr>
              <w:jc w:val="left"/>
            </w:pPr>
            <w:r>
              <w:t>(1 días, 3,2%)</w:t>
            </w:r>
          </w:p>
        </w:tc>
        <w:tc>
          <w:tcPr>
            <w:tcW w:type="dxa" w:w="1440"/>
            <w:noWrap/>
          </w:tcPr>
          <w:p>
            <w:pPr>
              <w:jc w:val="left"/>
            </w:pPr>
            <w:r>
              <w:t>0,0 m³</w:t>
            </w:r>
          </w:p>
          <w:p>
            <w:pPr>
              <w:jc w:val="left"/>
            </w:pPr>
            <w:r>
              <w:t>(0,0%)</w:t>
            </w:r>
          </w:p>
        </w:tc>
      </w:tr>
      <w:tr>
        <w:tc>
          <w:tcPr>
            <w:tcW w:type="dxa" w:w="1440"/>
            <w:noWrap/>
          </w:tcPr>
          <w:p>
            <w:r>
              <w:t>14</w:t>
            </w:r>
          </w:p>
        </w:tc>
        <w:tc>
          <w:tcPr>
            <w:tcW w:type="dxa" w:w="1440"/>
            <w:noWrap/>
          </w:tcPr>
          <w:p>
            <w:r>
              <w:t>Alicura</w:t>
            </w:r>
          </w:p>
        </w:tc>
        <w:tc>
          <w:tcPr>
            <w:tcW w:type="dxa" w:w="1440"/>
            <w:noWrap/>
          </w:tcPr>
          <w:p>
            <w:r>
              <w:t>41,4</w:t>
            </w:r>
          </w:p>
        </w:tc>
        <w:tc>
          <w:tcPr>
            <w:tcW w:type="dxa" w:w="1440"/>
            <w:noWrap/>
          </w:tcPr>
          <w:p>
            <w:r>
              <w:t>22</w:t>
            </w:r>
          </w:p>
        </w:tc>
        <w:tc>
          <w:tcPr>
            <w:tcW w:type="dxa" w:w="1440"/>
            <w:noWrap/>
          </w:tcPr>
          <w:p>
            <w:pPr>
              <w:jc w:val="left"/>
            </w:pPr>
            <w:r>
              <w:t>11 m³</w:t>
            </w:r>
          </w:p>
          <w:p>
            <w:pPr>
              <w:jc w:val="left"/>
            </w:pPr>
            <w:r>
              <w:t>(19 días, 95%)</w:t>
            </w:r>
          </w:p>
        </w:tc>
        <w:tc>
          <w:tcPr>
            <w:tcW w:type="dxa" w:w="1440"/>
            <w:noWrap/>
          </w:tcPr>
          <w:p>
            <w:pPr>
              <w:jc w:val="left"/>
            </w:pPr>
            <w:r>
              <w:t>33,1 m³</w:t>
            </w:r>
          </w:p>
          <w:p>
            <w:pPr>
              <w:jc w:val="left"/>
            </w:pPr>
            <w:r>
              <w:t>(79,9%)</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9.476,4</w:t>
            </w:r>
          </w:p>
        </w:tc>
        <w:tc>
          <w:tcPr>
            <w:tcW w:type="dxa" w:w="1440"/>
            <w:noWrap/>
            <w:shd w:val="clear" w:fill="FFE6E6"/>
          </w:tcPr>
          <w:p>
            <w:pPr>
              <w:jc w:val="left"/>
            </w:pPr>
            <w:r>
              <w:rPr>
                <w:b/>
                <w:color w:val="FF0000"/>
              </w:rPr>
              <w:t>128</w:t>
            </w:r>
          </w:p>
        </w:tc>
        <w:tc>
          <w:tcPr>
            <w:tcW w:type="dxa" w:w="1440"/>
            <w:noWrap/>
            <w:shd w:val="clear" w:fill="FFE6E6"/>
          </w:tcPr>
          <w:p>
            <w:pPr>
              <w:jc w:val="left"/>
            </w:pPr>
            <w:r>
              <w:rPr>
                <w:b/>
                <w:color w:val="FF0000"/>
              </w:rPr>
              <w:t>556,9 m³</w:t>
            </w:r>
          </w:p>
        </w:tc>
        <w:tc>
          <w:tcPr>
            <w:tcW w:type="dxa" w:w="1440"/>
            <w:noWrap/>
            <w:shd w:val="clear" w:fill="FFE6E6"/>
          </w:tcPr>
          <w:p>
            <w:pPr>
              <w:jc w:val="left"/>
            </w:pPr>
            <w:r>
              <w:rPr>
                <w:b/>
                <w:color w:val="FF0000"/>
              </w:rPr>
              <w:t>1.168,3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EDUARDO DE LA BARRA (13-05-26):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08_02.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Eduardo de la Barra registró 17 alerta(s) durante 14 día(s) del periodo analizado. La periodicidad de las alertas es intermitente (más del 20% de los días). Se identificó una proyección de filtración de 600,7 m³ ($762.876), lo que indica un patrón de fuga constante durante el periodo.</w:t>
      </w:r>
    </w:p>
    <w:p/>
    <w:p>
      <w:pPr>
        <w:keepNext/>
        <w:widowControl/>
        <w:spacing w:after="60"/>
      </w:pPr>
      <w:r>
        <w:rPr>
          <w:b/>
          <w:color w:val="003366"/>
        </w:rPr>
        <w:t>DÍA CON MAYOR CONSUMO NOCTURNO - CARLOS FERNANDEZ P. (26-05-26):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08_03.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Carlos Fernandez P. registró 14 alerta(s) durante 14 día(s) del periodo analizado. La periodicidad de las alertas es intermitente (más del 20% de los días). Se identificó una proyección de filtración de 47,7 m³ ($60.541), lo que indica un patrón de fuga constante durante el periodo.</w:t>
      </w:r>
    </w:p>
    <w:p/>
    <w:p>
      <w:pPr>
        <w:keepNext/>
        <w:widowControl/>
        <w:spacing w:after="60"/>
      </w:pPr>
      <w:r>
        <w:rPr>
          <w:b/>
          <w:color w:val="003366"/>
        </w:rPr>
        <w:t>DÍA CON MAYOR CONSUMO NOCTURNO - SANTA MARIA (26-05-26):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08_05.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Santa Maria registró 8 alerta(s) durante 6 día(s) del periodo analizado. La periodicidad de las alertas es puntual (menos del 20% de los días).</w:t>
      </w:r>
    </w:p>
    <w:p/>
    <w:p>
      <w:pPr>
        <w:keepNext/>
        <w:widowControl/>
        <w:spacing w:after="60"/>
      </w:pPr>
      <w:r>
        <w:rPr>
          <w:b/>
          <w:color w:val="003366"/>
        </w:rPr>
        <w:t>DÍA CON MAYOR CONSUMO NOCTURNO - LUIS ARRIETA CAÑA (05-05-26):</w:t>
      </w:r>
    </w:p>
    <w:p>
      <w:pPr>
        <w:keepNext/>
        <w:widowControl/>
        <w:spacing w:after="60"/>
        <w:jc w:val="center"/>
      </w:pPr>
      <w:r>
        <w:drawing>
          <wp:inline xmlns:a="http://schemas.openxmlformats.org/drawingml/2006/main" xmlns:pic="http://schemas.openxmlformats.org/drawingml/2006/picture">
            <wp:extent cx="5486400" cy="2704355"/>
            <wp:docPr id="6" name="Picture 6"/>
            <wp:cNvGraphicFramePr>
              <a:graphicFrameLocks noChangeAspect="1"/>
            </wp:cNvGraphicFramePr>
            <a:graphic>
              <a:graphicData uri="http://schemas.openxmlformats.org/drawingml/2006/picture">
                <pic:pic>
                  <pic:nvPicPr>
                    <pic:cNvPr id="0" name="chart_max_nocturnal_000008_06.png"/>
                    <pic:cNvPicPr/>
                  </pic:nvPicPr>
                  <pic:blipFill>
                    <a:blip r:embed="rId15"/>
                    <a:stretch>
                      <a:fillRect/>
                    </a:stretch>
                  </pic:blipFill>
                  <pic:spPr>
                    <a:xfrm>
                      <a:off x="0" y="0"/>
                      <a:ext cx="5486400" cy="2704355"/>
                    </a:xfrm>
                    <a:prstGeom prst="rect"/>
                  </pic:spPr>
                </pic:pic>
              </a:graphicData>
            </a:graphic>
          </wp:inline>
        </w:drawing>
      </w:r>
    </w:p>
    <w:p>
      <w:pPr>
        <w:jc w:val="both"/>
      </w:pPr>
      <w:r>
        <w:rPr>
          <w:color w:val="000000"/>
        </w:rPr>
        <w:t>El nodo Luis Arrieta Caña registró 1 alerta(s) durante 1 día(s) del periodo analizado. La periodicidad de las alertas es puntual (menos del 20% de los días).</w:t>
      </w:r>
    </w:p>
    <w:p/>
    <w:p>
      <w:pPr>
        <w:keepNext/>
        <w:widowControl/>
        <w:spacing w:after="60"/>
      </w:pPr>
      <w:r>
        <w:rPr>
          <w:b/>
          <w:color w:val="003366"/>
        </w:rPr>
        <w:t>DÍA CON MAYOR CONSUMO NOCTURNO - ERASMO ESCALA (08-05-26):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08_07.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Erasmo Escala registró 3 alerta(s) durante 2 día(s) del periodo analizado. La periodicidad de las alertas es puntual (menos del 20% de los días).</w:t>
      </w:r>
    </w:p>
    <w:p/>
    <w:p>
      <w:pPr>
        <w:keepNext/>
        <w:widowControl/>
        <w:spacing w:after="60"/>
      </w:pPr>
      <w:r>
        <w:rPr>
          <w:b/>
          <w:color w:val="003366"/>
        </w:rPr>
        <w:t>DÍA CON MAYOR CONSUMO NOCTURNO - ALICURA (21-05-26):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08_08.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Alicura registró 22 alerta(s) durante 18 día(s) del periodo analizado. La periodicidad de las alertas es regular (más del 50% de los días). Se identificó una proyección de filtración de 33,1 m³ ($41.986), lo que indica un patrón de fuga constante durante el periodo.</w:t>
      </w:r>
    </w:p>
    <w:p/>
    <w:p>
      <w:pPr>
        <w:keepNext/>
        <w:widowControl/>
        <w:spacing w:after="60"/>
      </w:pPr>
      <w:r>
        <w:rPr>
          <w:b/>
          <w:color w:val="003366"/>
        </w:rPr>
        <w:t>DÍA CON MAYOR CONSUMO NOCTURNO - JUAN BAUTISTA PASTEN (13-05-26):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08_09.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Juan Bautista Pasten registró 18 alerta(s) durante 13 día(s) del periodo analizado. La periodicidad de las alertas es intermitente (más del 20% de los días).</w:t>
      </w:r>
    </w:p>
    <w:p/>
    <w:p>
      <w:pPr>
        <w:keepNext/>
        <w:widowControl/>
        <w:spacing w:after="60"/>
      </w:pPr>
      <w:r>
        <w:rPr>
          <w:b/>
          <w:color w:val="003366"/>
        </w:rPr>
        <w:t>DÍA CON MAYOR CONSUMO NOCTURNO - MATILDE HUICI NAVAS (05-05-26):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08_10.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Matilde Huici Navas registró 13 alerta(s) durante 10 día(s) del periodo analizado. La periodicidad de las alertas es intermitente (más del 20% de los días).</w:t>
      </w:r>
    </w:p>
    <w:p/>
    <w:p>
      <w:pPr>
        <w:keepNext/>
        <w:widowControl/>
        <w:spacing w:after="60"/>
      </w:pPr>
      <w:r>
        <w:rPr>
          <w:b/>
          <w:color w:val="003366"/>
        </w:rPr>
        <w:t>DÍA CON MAYOR CONSUMO NOCTURNO - CE VALLE HERMOSO (17-05-26):</w:t>
      </w:r>
    </w:p>
    <w:p>
      <w:pPr>
        <w:keepNext/>
        <w:widowControl/>
        <w:spacing w:after="60"/>
        <w:jc w:val="center"/>
      </w:pPr>
      <w:r>
        <w:drawing>
          <wp:inline xmlns:a="http://schemas.openxmlformats.org/drawingml/2006/main" xmlns:pic="http://schemas.openxmlformats.org/drawingml/2006/picture">
            <wp:extent cx="5486400" cy="2702533"/>
            <wp:docPr id="11" name="Picture 11"/>
            <wp:cNvGraphicFramePr>
              <a:graphicFrameLocks noChangeAspect="1"/>
            </wp:cNvGraphicFramePr>
            <a:graphic>
              <a:graphicData uri="http://schemas.openxmlformats.org/drawingml/2006/picture">
                <pic:pic>
                  <pic:nvPicPr>
                    <pic:cNvPr id="0" name="chart_max_nocturnal_000008_11.png"/>
                    <pic:cNvPicPr/>
                  </pic:nvPicPr>
                  <pic:blipFill>
                    <a:blip r:embed="rId20"/>
                    <a:stretch>
                      <a:fillRect/>
                    </a:stretch>
                  </pic:blipFill>
                  <pic:spPr>
                    <a:xfrm>
                      <a:off x="0" y="0"/>
                      <a:ext cx="5486400" cy="2702533"/>
                    </a:xfrm>
                    <a:prstGeom prst="rect"/>
                  </pic:spPr>
                </pic:pic>
              </a:graphicData>
            </a:graphic>
          </wp:inline>
        </w:drawing>
      </w:r>
    </w:p>
    <w:p>
      <w:pPr>
        <w:jc w:val="both"/>
      </w:pPr>
      <w:r>
        <w:rPr>
          <w:color w:val="000000"/>
        </w:rPr>
        <w:t>El nodo CE Valle Hermoso registró 9 alerta(s) durante 7 día(s) del periodo analizado. La periodicidad de las alertas es intermitente (más del 20% de los días).</w:t>
      </w:r>
    </w:p>
    <w:p/>
    <w:p>
      <w:pPr>
        <w:keepNext/>
        <w:widowControl/>
        <w:spacing w:after="60"/>
      </w:pPr>
      <w:r>
        <w:rPr>
          <w:b/>
          <w:color w:val="003366"/>
        </w:rPr>
        <w:t>DÍA CON MAYOR CONSUMO NOCTURNO - LIKANKURA (05-05-26):</w:t>
      </w:r>
    </w:p>
    <w:p>
      <w:pPr>
        <w:keepNext/>
        <w:widowControl/>
        <w:spacing w:after="60"/>
        <w:jc w:val="center"/>
      </w:pPr>
      <w:r>
        <w:drawing>
          <wp:inline xmlns:a="http://schemas.openxmlformats.org/drawingml/2006/main" xmlns:pic="http://schemas.openxmlformats.org/drawingml/2006/picture">
            <wp:extent cx="5486400" cy="2702533"/>
            <wp:docPr id="12" name="Picture 12"/>
            <wp:cNvGraphicFramePr>
              <a:graphicFrameLocks noChangeAspect="1"/>
            </wp:cNvGraphicFramePr>
            <a:graphic>
              <a:graphicData uri="http://schemas.openxmlformats.org/drawingml/2006/picture">
                <pic:pic>
                  <pic:nvPicPr>
                    <pic:cNvPr id="0" name="chart_max_nocturnal_000008_13.png"/>
                    <pic:cNvPicPr/>
                  </pic:nvPicPr>
                  <pic:blipFill>
                    <a:blip r:embed="rId21"/>
                    <a:stretch>
                      <a:fillRect/>
                    </a:stretch>
                  </pic:blipFill>
                  <pic:spPr>
                    <a:xfrm>
                      <a:off x="0" y="0"/>
                      <a:ext cx="5486400" cy="2702533"/>
                    </a:xfrm>
                    <a:prstGeom prst="rect"/>
                  </pic:spPr>
                </pic:pic>
              </a:graphicData>
            </a:graphic>
          </wp:inline>
        </w:drawing>
      </w:r>
    </w:p>
    <w:p>
      <w:pPr>
        <w:jc w:val="both"/>
      </w:pPr>
      <w:r>
        <w:rPr>
          <w:color w:val="000000"/>
        </w:rPr>
        <w:t>El nodo Likankura registró 12 alerta(s) durante 8 día(s) del periodo analizado. La periodicidad de las alertas es intermitente (más del 20% de los días). Se identificó una proyección de filtración de 61,4 m³ ($78.029), lo que indica un patrón de fuga constante durante el periodo.</w:t>
      </w:r>
    </w:p>
    <w:p/>
    <w:p>
      <w:pPr>
        <w:keepNext/>
        <w:widowControl/>
        <w:spacing w:after="60"/>
      </w:pPr>
      <w:r>
        <w:rPr>
          <w:b/>
          <w:color w:val="003366"/>
        </w:rPr>
        <w:t>PERFILES HORARIOS Y PROYECCIÓN (SERIE API — ESTILO APP WES)</w:t>
      </w:r>
    </w:p>
    <w:p>
      <w:pPr>
        <w:jc w:val="both"/>
      </w:pPr>
      <w:r>
        <w:t>Los siguientes gráficos replican el perfil horario de la app WES (sin captura de pantalla). La proyección mensual usa consumo en madrugada (00:00–06:59) extrapolado a 24 h × 30 días, útil para estimar ahorro con equipo de control cuando no hay alertas MyAlert recientes.</w:t>
      </w:r>
    </w:p>
    <w:p/>
    <w:p>
      <w:pPr>
        <w:keepNext/>
        <w:widowControl/>
        <w:spacing w:after="60"/>
      </w:pPr>
      <w:r>
        <w:rPr>
          <w:b/>
          <w:color w:val="003366"/>
        </w:rPr>
        <w:t>LIC. ANTONIO HERMIDA F (000008-01)</w:t>
      </w:r>
    </w:p>
    <w:p>
      <w:r>
        <w:rPr>
          <w:b/>
        </w:rPr>
        <w:t xml:space="preserve">Consumo nocturno en el periodo: </w:t>
      </w:r>
      <w:r>
        <w:t xml:space="preserve">1,1 m³. </w:t>
      </w:r>
      <w:r>
        <w:rPr>
          <w:b/>
        </w:rPr>
        <w:t xml:space="preserve">Proyección a 30 días (24 h/día): </w:t>
      </w:r>
      <w:r>
        <w:t>3,6 m³ ($4.635 referencial).</w:t>
      </w:r>
    </w:p>
    <w:p>
      <w:r>
        <w:t>Nota: el patrón nocturno no supera el umbral del 75 % de días con consumo en madrugada; la proyección se muestra como estimación técnica a partir de la serie horaria.</w:t>
      </w:r>
    </w:p>
    <w:p>
      <w:pPr>
        <w:keepNext/>
        <w:widowControl/>
        <w:spacing w:after="60"/>
        <w:jc w:val="center"/>
      </w:pPr>
      <w:r>
        <w:drawing>
          <wp:inline xmlns:a="http://schemas.openxmlformats.org/drawingml/2006/main" xmlns:pic="http://schemas.openxmlformats.org/drawingml/2006/picture">
            <wp:extent cx="5486400" cy="2445387"/>
            <wp:docPr id="13" name="Picture 13"/>
            <wp:cNvGraphicFramePr>
              <a:graphicFrameLocks noChangeAspect="1"/>
            </wp:cNvGraphicFramePr>
            <a:graphic>
              <a:graphicData uri="http://schemas.openxmlformats.org/drawingml/2006/picture">
                <pic:pic>
                  <pic:nvPicPr>
                    <pic:cNvPr id="0" name="app_horario_000008_01.png"/>
                    <pic:cNvPicPr/>
                  </pic:nvPicPr>
                  <pic:blipFill>
                    <a:blip r:embed="rId22"/>
                    <a:stretch>
                      <a:fillRect/>
                    </a:stretch>
                  </pic:blipFill>
                  <pic:spPr>
                    <a:xfrm>
                      <a:off x="0" y="0"/>
                      <a:ext cx="5486400" cy="2445387"/>
                    </a:xfrm>
                    <a:prstGeom prst="rect"/>
                  </pic:spPr>
                </pic:pic>
              </a:graphicData>
            </a:graphic>
          </wp:inline>
        </w:drawing>
      </w:r>
    </w:p>
    <w:p/>
    <w:p>
      <w:pPr>
        <w:keepNext/>
        <w:widowControl/>
        <w:spacing w:after="60"/>
      </w:pPr>
      <w:r>
        <w:rPr>
          <w:b/>
          <w:color w:val="003366"/>
        </w:rPr>
        <w:t>TOBALABA (000008-04)</w:t>
      </w:r>
    </w:p>
    <w:p>
      <w:r>
        <w:rPr>
          <w:b/>
        </w:rPr>
        <w:t xml:space="preserve">Consumo nocturno en el periodo: </w:t>
      </w:r>
      <w:r>
        <w:t xml:space="preserve">141,8 m³. </w:t>
      </w:r>
      <w:r>
        <w:rPr>
          <w:b/>
        </w:rPr>
        <w:t xml:space="preserve">Proyección a 30 días (24 h/día): </w:t>
      </w:r>
      <w:r>
        <w:t>470,5 m³ ($597.520 referencial).</w:t>
      </w:r>
    </w:p>
    <w:p>
      <w:pPr>
        <w:keepNext/>
        <w:widowControl/>
        <w:spacing w:after="60"/>
        <w:jc w:val="center"/>
      </w:pPr>
      <w:r>
        <w:drawing>
          <wp:inline xmlns:a="http://schemas.openxmlformats.org/drawingml/2006/main" xmlns:pic="http://schemas.openxmlformats.org/drawingml/2006/picture">
            <wp:extent cx="5486400" cy="2445387"/>
            <wp:docPr id="14" name="Picture 14"/>
            <wp:cNvGraphicFramePr>
              <a:graphicFrameLocks noChangeAspect="1"/>
            </wp:cNvGraphicFramePr>
            <a:graphic>
              <a:graphicData uri="http://schemas.openxmlformats.org/drawingml/2006/picture">
                <pic:pic>
                  <pic:nvPicPr>
                    <pic:cNvPr id="0" name="app_horario_000008_04.png"/>
                    <pic:cNvPicPr/>
                  </pic:nvPicPr>
                  <pic:blipFill>
                    <a:blip r:embed="rId23"/>
                    <a:stretch>
                      <a:fillRect/>
                    </a:stretch>
                  </pic:blipFill>
                  <pic:spPr>
                    <a:xfrm>
                      <a:off x="0" y="0"/>
                      <a:ext cx="5486400" cy="2445387"/>
                    </a:xfrm>
                    <a:prstGeom prst="rect"/>
                  </pic:spPr>
                </pic:pic>
              </a:graphicData>
            </a:graphic>
          </wp:inline>
        </w:drawing>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5" name="Picture 15"/>
            <wp:cNvGraphicFramePr>
              <a:graphicFrameLocks noChangeAspect="1"/>
            </wp:cNvGraphicFramePr>
            <a:graphic>
              <a:graphicData uri="http://schemas.openxmlformats.org/drawingml/2006/picture">
                <pic:pic>
                  <pic:nvPicPr>
                    <pic:cNvPr id="0" name="chart_comparacion_mensual_agregada.png"/>
                    <pic:cNvPicPr/>
                  </pic:nvPicPr>
                  <pic:blipFill>
                    <a:blip r:embed="rId24"/>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Tobalaba, Eduardo de la Barra, Carlos Fernandez P., Likankura y Alicura.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