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CORMUP</w:t>
      </w:r>
    </w:p>
    <w:p>
      <w:pPr>
        <w:jc w:val="center"/>
      </w:pPr>
      <w:r>
        <w:t>MONITOREO WES</w:t>
        <w:br/>
        <w:t>Análisis consolidado de 14 puntos de monitoreo</w:t>
        <w:br/>
        <w:t>Rango: 01-06-26 - 30-06-26</w:t>
        <w:br/>
        <w:t>Generado: 30-06-26 14:27</w:t>
      </w:r>
    </w:p>
    <w:p>
      <w:pPr>
        <w:pStyle w:val="Heading1"/>
        <w:keepNext/>
        <w:widowControl/>
        <w:spacing w:after="60"/>
      </w:pPr>
      <w:r>
        <w:rPr>
          <w:b/>
          <w:color w:val="003366"/>
        </w:rPr>
        <w:t>RESUMEN EJECUTIVO AGREGADO</w:t>
      </w:r>
    </w:p>
    <w:p>
      <w:r>
        <w:t>Puntos de monitoreo analizados: 14.</w:t>
        <w:br/>
      </w:r>
      <w:r>
        <w:t>Consumo total agregado: 8.725,5 m³.</w:t>
        <w:br/>
      </w:r>
      <w:r>
        <w:t>Consumo promedio por punto: 623,2 m³.</w:t>
        <w:br/>
      </w:r>
      <w:r>
        <w:t>Total de alertas registradas: 202.</w:t>
        <w:br/>
      </w:r>
      <w:r>
        <w:t>Promedio de alerta agregado: 0,1 m³/h.</w:t>
        <w:br/>
      </w:r>
      <w:r>
        <w:t>Proyección diaria de consumo nocturno agregada: 2,3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Unión Nacional Árabe, con un total de 2.512,6 m³ durante el periodo analizado. Este valor representa un 303,1% por encima del promedio (623,2 m³ por punto), indicando una demanda significativamente superior a la media. Por otro lado, el punto con menor consumo es Erasmo Escala, con un total de 53,8 m³. Este valor representa un 91,4% por debajo del promedio, mostrando una demanda significativamente inferior. La diferencia entre el punto de mayor y menor consumo es considerable, siendo el consumo máximo aproximadamente 46,7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37"/>
        <w:gridCol w:w="1094"/>
        <w:gridCol w:w="973"/>
        <w:gridCol w:w="1520"/>
        <w:gridCol w:w="145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Unión Nacional Árabe</w:t>
            </w:r>
          </w:p>
        </w:tc>
        <w:tc>
          <w:tcPr>
            <w:tcW w:type="dxa" w:w="1440"/>
            <w:noWrap/>
          </w:tcPr>
          <w:p>
            <w:r>
              <w:t>2.512,6</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2</w:t>
            </w:r>
          </w:p>
        </w:tc>
        <w:tc>
          <w:tcPr>
            <w:tcW w:type="dxa" w:w="1440"/>
            <w:noWrap/>
          </w:tcPr>
          <w:p>
            <w:r>
              <w:t>Juan Bautista Pasten</w:t>
            </w:r>
          </w:p>
        </w:tc>
        <w:tc>
          <w:tcPr>
            <w:tcW w:type="dxa" w:w="1440"/>
            <w:noWrap/>
          </w:tcPr>
          <w:p>
            <w:r>
              <w:t>1.411,5</w:t>
            </w:r>
          </w:p>
        </w:tc>
        <w:tc>
          <w:tcPr>
            <w:tcW w:type="dxa" w:w="1440"/>
            <w:noWrap/>
          </w:tcPr>
          <w:p>
            <w:r>
              <w:t>27</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3</w:t>
            </w:r>
          </w:p>
        </w:tc>
        <w:tc>
          <w:tcPr>
            <w:tcW w:type="dxa" w:w="1440"/>
            <w:noWrap/>
          </w:tcPr>
          <w:p>
            <w:r>
              <w:t>Tobalaba</w:t>
            </w:r>
          </w:p>
        </w:tc>
        <w:tc>
          <w:tcPr>
            <w:tcW w:type="dxa" w:w="1440"/>
            <w:noWrap/>
          </w:tcPr>
          <w:p>
            <w:r>
              <w:t>1.354,7</w:t>
            </w:r>
          </w:p>
        </w:tc>
        <w:tc>
          <w:tcPr>
            <w:tcW w:type="dxa" w:w="1440"/>
            <w:noWrap/>
          </w:tcPr>
          <w:p>
            <w:r>
              <w:t>0</w:t>
            </w:r>
          </w:p>
        </w:tc>
        <w:tc>
          <w:tcPr>
            <w:tcW w:type="dxa" w:w="1440"/>
            <w:noWrap/>
          </w:tcPr>
          <w:p>
            <w:pPr>
              <w:jc w:val="left"/>
            </w:pPr>
            <w:r>
              <w:t>81,4 m³</w:t>
            </w:r>
          </w:p>
          <w:p>
            <w:pPr>
              <w:jc w:val="left"/>
            </w:pPr>
            <w:r>
              <w:t>(13 días, 50%)</w:t>
            </w:r>
          </w:p>
        </w:tc>
        <w:tc>
          <w:tcPr>
            <w:tcW w:type="dxa" w:w="1440"/>
            <w:noWrap/>
          </w:tcPr>
          <w:p>
            <w:pPr>
              <w:jc w:val="left"/>
            </w:pPr>
            <w:r>
              <w:t>0,0 m³</w:t>
            </w:r>
          </w:p>
          <w:p>
            <w:pPr>
              <w:jc w:val="left"/>
            </w:pPr>
            <w:r>
              <w:t>(0,0%)</w:t>
            </w:r>
          </w:p>
        </w:tc>
      </w:tr>
      <w:tr>
        <w:tc>
          <w:tcPr>
            <w:tcW w:type="dxa" w:w="1440"/>
            <w:noWrap/>
          </w:tcPr>
          <w:p>
            <w:r>
              <w:t>4</w:t>
            </w:r>
          </w:p>
        </w:tc>
        <w:tc>
          <w:tcPr>
            <w:tcW w:type="dxa" w:w="1440"/>
            <w:noWrap/>
          </w:tcPr>
          <w:p>
            <w:r>
              <w:t>Luis Arrieta Caña</w:t>
            </w:r>
          </w:p>
        </w:tc>
        <w:tc>
          <w:tcPr>
            <w:tcW w:type="dxa" w:w="1440"/>
            <w:noWrap/>
          </w:tcPr>
          <w:p>
            <w:r>
              <w:t>977,2</w:t>
            </w:r>
          </w:p>
        </w:tc>
        <w:tc>
          <w:tcPr>
            <w:tcW w:type="dxa" w:w="1440"/>
            <w:noWrap/>
          </w:tcPr>
          <w:p>
            <w:r>
              <w:t>4</w:t>
            </w:r>
          </w:p>
        </w:tc>
        <w:tc>
          <w:tcPr>
            <w:tcW w:type="dxa" w:w="1440"/>
            <w:noWrap/>
          </w:tcPr>
          <w:p>
            <w:pPr>
              <w:jc w:val="left"/>
            </w:pPr>
            <w:r>
              <w:t>120,4 m³</w:t>
            </w:r>
          </w:p>
          <w:p>
            <w:pPr>
              <w:jc w:val="left"/>
            </w:pPr>
            <w:r>
              <w:t>(23 días, 76,7%)</w:t>
            </w:r>
          </w:p>
        </w:tc>
        <w:tc>
          <w:tcPr>
            <w:tcW w:type="dxa" w:w="1440"/>
            <w:noWrap/>
          </w:tcPr>
          <w:p>
            <w:pPr>
              <w:jc w:val="left"/>
            </w:pPr>
            <w:r>
              <w:t>361,2 m³</w:t>
            </w:r>
          </w:p>
          <w:p>
            <w:pPr>
              <w:jc w:val="left"/>
            </w:pPr>
            <w:r>
              <w:t>(37%)</w:t>
            </w:r>
          </w:p>
        </w:tc>
      </w:tr>
      <w:tr>
        <w:tc>
          <w:tcPr>
            <w:tcW w:type="dxa" w:w="1440"/>
            <w:noWrap/>
          </w:tcPr>
          <w:p>
            <w:r>
              <w:t>5</w:t>
            </w:r>
          </w:p>
        </w:tc>
        <w:tc>
          <w:tcPr>
            <w:tcW w:type="dxa" w:w="1440"/>
            <w:noWrap/>
          </w:tcPr>
          <w:p>
            <w:r>
              <w:t>CE Valle Hermoso</w:t>
            </w:r>
          </w:p>
        </w:tc>
        <w:tc>
          <w:tcPr>
            <w:tcW w:type="dxa" w:w="1440"/>
            <w:noWrap/>
          </w:tcPr>
          <w:p>
            <w:r>
              <w:t>542,2</w:t>
            </w:r>
          </w:p>
        </w:tc>
        <w:tc>
          <w:tcPr>
            <w:tcW w:type="dxa" w:w="1440"/>
            <w:noWrap/>
          </w:tcPr>
          <w:p>
            <w:r>
              <w:t>18</w:t>
            </w:r>
          </w:p>
        </w:tc>
        <w:tc>
          <w:tcPr>
            <w:tcW w:type="dxa" w:w="1440"/>
            <w:noWrap/>
          </w:tcPr>
          <w:p>
            <w:pPr>
              <w:jc w:val="left"/>
            </w:pPr>
            <w:r>
              <w:t>37,2 m³</w:t>
            </w:r>
          </w:p>
          <w:p>
            <w:pPr>
              <w:jc w:val="left"/>
            </w:pPr>
            <w:r>
              <w:t>(25 días, 92,6%)</w:t>
            </w:r>
          </w:p>
        </w:tc>
        <w:tc>
          <w:tcPr>
            <w:tcW w:type="dxa" w:w="1440"/>
            <w:noWrap/>
          </w:tcPr>
          <w:p>
            <w:pPr>
              <w:jc w:val="left"/>
            </w:pPr>
            <w:r>
              <w:t>111,5 m³</w:t>
            </w:r>
          </w:p>
          <w:p>
            <w:pPr>
              <w:jc w:val="left"/>
            </w:pPr>
            <w:r>
              <w:t>(20,6%)</w:t>
            </w:r>
          </w:p>
        </w:tc>
      </w:tr>
      <w:tr>
        <w:tc>
          <w:tcPr>
            <w:tcW w:type="dxa" w:w="1440"/>
            <w:noWrap/>
          </w:tcPr>
          <w:p>
            <w:r>
              <w:t>6</w:t>
            </w:r>
          </w:p>
        </w:tc>
        <w:tc>
          <w:tcPr>
            <w:tcW w:type="dxa" w:w="1440"/>
            <w:noWrap/>
          </w:tcPr>
          <w:p>
            <w:r>
              <w:t>Eduardo de la Barra</w:t>
            </w:r>
          </w:p>
        </w:tc>
        <w:tc>
          <w:tcPr>
            <w:tcW w:type="dxa" w:w="1440"/>
            <w:noWrap/>
          </w:tcPr>
          <w:p>
            <w:r>
              <w:t>410,9</w:t>
            </w:r>
          </w:p>
        </w:tc>
        <w:tc>
          <w:tcPr>
            <w:tcW w:type="dxa" w:w="1440"/>
            <w:noWrap/>
          </w:tcPr>
          <w:p>
            <w:r>
              <w:t>21</w:t>
            </w:r>
          </w:p>
        </w:tc>
        <w:tc>
          <w:tcPr>
            <w:tcW w:type="dxa" w:w="1440"/>
            <w:noWrap/>
          </w:tcPr>
          <w:p>
            <w:pPr>
              <w:jc w:val="left"/>
            </w:pPr>
            <w:r>
              <w:t>106,1 m³</w:t>
            </w:r>
          </w:p>
          <w:p>
            <w:pPr>
              <w:jc w:val="left"/>
            </w:pPr>
            <w:r>
              <w:t>(22 días, 100%)</w:t>
            </w:r>
          </w:p>
        </w:tc>
        <w:tc>
          <w:tcPr>
            <w:tcW w:type="dxa" w:w="1440"/>
            <w:noWrap/>
          </w:tcPr>
          <w:p>
            <w:pPr>
              <w:jc w:val="left"/>
            </w:pPr>
            <w:r>
              <w:t>318,4 m³</w:t>
            </w:r>
          </w:p>
          <w:p>
            <w:pPr>
              <w:jc w:val="left"/>
            </w:pPr>
            <w:r>
              <w:t>(77,5%)</w:t>
            </w:r>
          </w:p>
        </w:tc>
      </w:tr>
      <w:tr>
        <w:tc>
          <w:tcPr>
            <w:tcW w:type="dxa" w:w="1440"/>
            <w:noWrap/>
          </w:tcPr>
          <w:p>
            <w:r>
              <w:t>7</w:t>
            </w:r>
          </w:p>
        </w:tc>
        <w:tc>
          <w:tcPr>
            <w:tcW w:type="dxa" w:w="1440"/>
            <w:noWrap/>
          </w:tcPr>
          <w:p>
            <w:r>
              <w:t>Carlos Fernandez P.</w:t>
            </w:r>
          </w:p>
        </w:tc>
        <w:tc>
          <w:tcPr>
            <w:tcW w:type="dxa" w:w="1440"/>
            <w:noWrap/>
          </w:tcPr>
          <w:p>
            <w:r>
              <w:t>365,5</w:t>
            </w:r>
          </w:p>
        </w:tc>
        <w:tc>
          <w:tcPr>
            <w:tcW w:type="dxa" w:w="1440"/>
            <w:noWrap/>
          </w:tcPr>
          <w:p>
            <w:r>
              <w:t>23</w:t>
            </w:r>
          </w:p>
        </w:tc>
        <w:tc>
          <w:tcPr>
            <w:tcW w:type="dxa" w:w="1440"/>
            <w:noWrap/>
          </w:tcPr>
          <w:p>
            <w:pPr>
              <w:jc w:val="left"/>
            </w:pPr>
            <w:r>
              <w:t>15,6 m³</w:t>
            </w:r>
          </w:p>
          <w:p>
            <w:pPr>
              <w:jc w:val="left"/>
            </w:pPr>
            <w:r>
              <w:t>(29 días, 96,7%)</w:t>
            </w:r>
          </w:p>
        </w:tc>
        <w:tc>
          <w:tcPr>
            <w:tcW w:type="dxa" w:w="1440"/>
            <w:noWrap/>
          </w:tcPr>
          <w:p>
            <w:pPr>
              <w:jc w:val="left"/>
            </w:pPr>
            <w:r>
              <w:t>46,9 m³</w:t>
            </w:r>
          </w:p>
          <w:p>
            <w:pPr>
              <w:jc w:val="left"/>
            </w:pPr>
            <w:r>
              <w:t>(12,8%)</w:t>
            </w:r>
          </w:p>
        </w:tc>
      </w:tr>
      <w:tr>
        <w:tc>
          <w:tcPr>
            <w:tcW w:type="dxa" w:w="1440"/>
            <w:noWrap/>
          </w:tcPr>
          <w:p>
            <w:r>
              <w:t>8</w:t>
            </w:r>
          </w:p>
        </w:tc>
        <w:tc>
          <w:tcPr>
            <w:tcW w:type="dxa" w:w="1440"/>
            <w:noWrap/>
          </w:tcPr>
          <w:p>
            <w:r>
              <w:t>Santa Maria</w:t>
            </w:r>
          </w:p>
        </w:tc>
        <w:tc>
          <w:tcPr>
            <w:tcW w:type="dxa" w:w="1440"/>
            <w:noWrap/>
          </w:tcPr>
          <w:p>
            <w:r>
              <w:t>361,1</w:t>
            </w:r>
          </w:p>
        </w:tc>
        <w:tc>
          <w:tcPr>
            <w:tcW w:type="dxa" w:w="1440"/>
            <w:noWrap/>
          </w:tcPr>
          <w:p>
            <w:r>
              <w:t>2</w:t>
            </w:r>
          </w:p>
        </w:tc>
        <w:tc>
          <w:tcPr>
            <w:tcW w:type="dxa" w:w="1440"/>
            <w:noWrap/>
          </w:tcPr>
          <w:p>
            <w:pPr>
              <w:jc w:val="left"/>
            </w:pPr>
            <w:r>
              <w:t>36,6 m³</w:t>
            </w:r>
          </w:p>
          <w:p>
            <w:pPr>
              <w:jc w:val="left"/>
            </w:pPr>
            <w:r>
              <w:t>(29 días, 96,7%)</w:t>
            </w:r>
          </w:p>
        </w:tc>
        <w:tc>
          <w:tcPr>
            <w:tcW w:type="dxa" w:w="1440"/>
            <w:noWrap/>
          </w:tcPr>
          <w:p>
            <w:pPr>
              <w:jc w:val="left"/>
            </w:pPr>
            <w:r>
              <w:t>109,9 m³</w:t>
            </w:r>
          </w:p>
          <w:p>
            <w:pPr>
              <w:jc w:val="left"/>
            </w:pPr>
            <w:r>
              <w:t>(30,4%)</w:t>
            </w:r>
          </w:p>
        </w:tc>
      </w:tr>
      <w:tr>
        <w:tc>
          <w:tcPr>
            <w:tcW w:type="dxa" w:w="1440"/>
            <w:noWrap/>
          </w:tcPr>
          <w:p>
            <w:r>
              <w:t>9</w:t>
            </w:r>
          </w:p>
        </w:tc>
        <w:tc>
          <w:tcPr>
            <w:tcW w:type="dxa" w:w="1440"/>
            <w:noWrap/>
          </w:tcPr>
          <w:p>
            <w:r>
              <w:t>Lic. Antonio Hermida F</w:t>
            </w:r>
          </w:p>
        </w:tc>
        <w:tc>
          <w:tcPr>
            <w:tcW w:type="dxa" w:w="1440"/>
            <w:noWrap/>
          </w:tcPr>
          <w:p>
            <w:r>
              <w:t>283,8</w:t>
            </w:r>
          </w:p>
        </w:tc>
        <w:tc>
          <w:tcPr>
            <w:tcW w:type="dxa" w:w="1440"/>
            <w:noWrap/>
          </w:tcPr>
          <w:p>
            <w:r>
              <w:t>0</w:t>
            </w:r>
          </w:p>
        </w:tc>
        <w:tc>
          <w:tcPr>
            <w:tcW w:type="dxa" w:w="1440"/>
            <w:noWrap/>
          </w:tcPr>
          <w:p>
            <w:pPr>
              <w:jc w:val="left"/>
            </w:pPr>
            <w:r>
              <w:t>0,6 m³</w:t>
            </w:r>
          </w:p>
          <w:p>
            <w:pPr>
              <w:jc w:val="left"/>
            </w:pPr>
            <w:r>
              <w:t>(6 días, 20%)</w:t>
            </w:r>
          </w:p>
        </w:tc>
        <w:tc>
          <w:tcPr>
            <w:tcW w:type="dxa" w:w="1440"/>
            <w:noWrap/>
          </w:tcPr>
          <w:p>
            <w:pPr>
              <w:jc w:val="left"/>
            </w:pPr>
            <w:r>
              <w:t>0,0 m³</w:t>
            </w:r>
          </w:p>
          <w:p>
            <w:pPr>
              <w:jc w:val="left"/>
            </w:pPr>
            <w:r>
              <w:t>(0,0%)</w:t>
            </w:r>
          </w:p>
        </w:tc>
      </w:tr>
      <w:tr>
        <w:tc>
          <w:tcPr>
            <w:tcW w:type="dxa" w:w="1440"/>
            <w:noWrap/>
          </w:tcPr>
          <w:p>
            <w:r>
              <w:t>10</w:t>
            </w:r>
          </w:p>
        </w:tc>
        <w:tc>
          <w:tcPr>
            <w:tcW w:type="dxa" w:w="1440"/>
            <w:noWrap/>
          </w:tcPr>
          <w:p>
            <w:r>
              <w:t>Likankura</w:t>
            </w:r>
          </w:p>
        </w:tc>
        <w:tc>
          <w:tcPr>
            <w:tcW w:type="dxa" w:w="1440"/>
            <w:noWrap/>
          </w:tcPr>
          <w:p>
            <w:r>
              <w:t>222,1</w:t>
            </w:r>
          </w:p>
        </w:tc>
        <w:tc>
          <w:tcPr>
            <w:tcW w:type="dxa" w:w="1440"/>
            <w:noWrap/>
          </w:tcPr>
          <w:p>
            <w:r>
              <w:t>37</w:t>
            </w:r>
          </w:p>
        </w:tc>
        <w:tc>
          <w:tcPr>
            <w:tcW w:type="dxa" w:w="1440"/>
            <w:noWrap/>
          </w:tcPr>
          <w:p>
            <w:pPr>
              <w:jc w:val="left"/>
            </w:pPr>
            <w:r>
              <w:t>36,1 m³</w:t>
            </w:r>
          </w:p>
          <w:p>
            <w:pPr>
              <w:jc w:val="left"/>
            </w:pPr>
            <w:r>
              <w:t>(30 días, 100%)</w:t>
            </w:r>
          </w:p>
        </w:tc>
        <w:tc>
          <w:tcPr>
            <w:tcW w:type="dxa" w:w="1440"/>
            <w:noWrap/>
          </w:tcPr>
          <w:p>
            <w:pPr>
              <w:jc w:val="left"/>
            </w:pPr>
            <w:r>
              <w:t>108,3 m³</w:t>
            </w:r>
          </w:p>
          <w:p>
            <w:pPr>
              <w:jc w:val="left"/>
            </w:pPr>
            <w:r>
              <w:t>(48,8%)</w:t>
            </w:r>
          </w:p>
        </w:tc>
      </w:tr>
      <w:tr>
        <w:tc>
          <w:tcPr>
            <w:tcW w:type="dxa" w:w="1440"/>
            <w:noWrap/>
          </w:tcPr>
          <w:p>
            <w:r>
              <w:t>11</w:t>
            </w:r>
          </w:p>
        </w:tc>
        <w:tc>
          <w:tcPr>
            <w:tcW w:type="dxa" w:w="1440"/>
            <w:noWrap/>
          </w:tcPr>
          <w:p>
            <w:r>
              <w:t>Matilde Huici Navas</w:t>
            </w:r>
          </w:p>
        </w:tc>
        <w:tc>
          <w:tcPr>
            <w:tcW w:type="dxa" w:w="1440"/>
            <w:noWrap/>
          </w:tcPr>
          <w:p>
            <w:r>
              <w:t>91,5</w:t>
            </w:r>
          </w:p>
        </w:tc>
        <w:tc>
          <w:tcPr>
            <w:tcW w:type="dxa" w:w="1440"/>
            <w:noWrap/>
          </w:tcPr>
          <w:p>
            <w:r>
              <w:t>14</w:t>
            </w:r>
          </w:p>
        </w:tc>
        <w:tc>
          <w:tcPr>
            <w:tcW w:type="dxa" w:w="1440"/>
            <w:noWrap/>
          </w:tcPr>
          <w:p>
            <w:pPr>
              <w:jc w:val="left"/>
            </w:pPr>
            <w:r>
              <w:t>0,8 m³</w:t>
            </w:r>
          </w:p>
          <w:p>
            <w:pPr>
              <w:jc w:val="left"/>
            </w:pPr>
            <w:r>
              <w:t>(3 días, 10%)</w:t>
            </w:r>
          </w:p>
        </w:tc>
        <w:tc>
          <w:tcPr>
            <w:tcW w:type="dxa" w:w="1440"/>
            <w:noWrap/>
          </w:tcPr>
          <w:p>
            <w:pPr>
              <w:jc w:val="left"/>
            </w:pPr>
            <w:r>
              <w:t>0,0 m³</w:t>
            </w:r>
          </w:p>
          <w:p>
            <w:pPr>
              <w:jc w:val="left"/>
            </w:pPr>
            <w:r>
              <w:t>(0,0%)</w:t>
            </w:r>
          </w:p>
        </w:tc>
      </w:tr>
      <w:tr>
        <w:tc>
          <w:tcPr>
            <w:tcW w:type="dxa" w:w="1440"/>
            <w:noWrap/>
          </w:tcPr>
          <w:p>
            <w:r>
              <w:t>12</w:t>
            </w:r>
          </w:p>
        </w:tc>
        <w:tc>
          <w:tcPr>
            <w:tcW w:type="dxa" w:w="1440"/>
            <w:noWrap/>
          </w:tcPr>
          <w:p>
            <w:r>
              <w:t>Juan Pablo II</w:t>
            </w:r>
          </w:p>
        </w:tc>
        <w:tc>
          <w:tcPr>
            <w:tcW w:type="dxa" w:w="1440"/>
            <w:noWrap/>
          </w:tcPr>
          <w:p>
            <w:r>
              <w:t>77,9</w:t>
            </w:r>
          </w:p>
        </w:tc>
        <w:tc>
          <w:tcPr>
            <w:tcW w:type="dxa" w:w="1440"/>
            <w:noWrap/>
          </w:tcPr>
          <w:p>
            <w:r>
              <w:t>11</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13</w:t>
            </w:r>
          </w:p>
        </w:tc>
        <w:tc>
          <w:tcPr>
            <w:tcW w:type="dxa" w:w="1440"/>
            <w:noWrap/>
          </w:tcPr>
          <w:p>
            <w:r>
              <w:t>Alicura</w:t>
            </w:r>
          </w:p>
        </w:tc>
        <w:tc>
          <w:tcPr>
            <w:tcW w:type="dxa" w:w="1440"/>
            <w:noWrap/>
          </w:tcPr>
          <w:p>
            <w:r>
              <w:t>60,6</w:t>
            </w:r>
          </w:p>
        </w:tc>
        <w:tc>
          <w:tcPr>
            <w:tcW w:type="dxa" w:w="1440"/>
            <w:noWrap/>
          </w:tcPr>
          <w:p>
            <w:r>
              <w:t>38</w:t>
            </w:r>
          </w:p>
        </w:tc>
        <w:tc>
          <w:tcPr>
            <w:tcW w:type="dxa" w:w="1440"/>
            <w:noWrap/>
          </w:tcPr>
          <w:p>
            <w:pPr>
              <w:jc w:val="left"/>
            </w:pPr>
            <w:r>
              <w:t>17,1 m³</w:t>
            </w:r>
          </w:p>
          <w:p>
            <w:pPr>
              <w:jc w:val="left"/>
            </w:pPr>
            <w:r>
              <w:t>(30 días, 100%)</w:t>
            </w:r>
          </w:p>
        </w:tc>
        <w:tc>
          <w:tcPr>
            <w:tcW w:type="dxa" w:w="1440"/>
            <w:noWrap/>
          </w:tcPr>
          <w:p>
            <w:pPr>
              <w:jc w:val="left"/>
            </w:pPr>
            <w:r>
              <w:t>51,2 m³</w:t>
            </w:r>
          </w:p>
          <w:p>
            <w:pPr>
              <w:jc w:val="left"/>
            </w:pPr>
            <w:r>
              <w:t>(84,4%)</w:t>
            </w:r>
          </w:p>
        </w:tc>
      </w:tr>
      <w:tr>
        <w:tc>
          <w:tcPr>
            <w:tcW w:type="dxa" w:w="1440"/>
            <w:noWrap/>
          </w:tcPr>
          <w:p>
            <w:r>
              <w:t>14</w:t>
            </w:r>
          </w:p>
        </w:tc>
        <w:tc>
          <w:tcPr>
            <w:tcW w:type="dxa" w:w="1440"/>
            <w:noWrap/>
          </w:tcPr>
          <w:p>
            <w:r>
              <w:t>Erasmo Escala</w:t>
            </w:r>
          </w:p>
        </w:tc>
        <w:tc>
          <w:tcPr>
            <w:tcW w:type="dxa" w:w="1440"/>
            <w:noWrap/>
          </w:tcPr>
          <w:p>
            <w:r>
              <w:t>53,8</w:t>
            </w:r>
          </w:p>
        </w:tc>
        <w:tc>
          <w:tcPr>
            <w:tcW w:type="dxa" w:w="1440"/>
            <w:noWrap/>
          </w:tcPr>
          <w:p>
            <w:r>
              <w:t>7</w:t>
            </w:r>
          </w:p>
        </w:tc>
        <w:tc>
          <w:tcPr>
            <w:tcW w:type="dxa" w:w="1440"/>
            <w:noWrap/>
          </w:tcPr>
          <w:p>
            <w:pPr>
              <w:jc w:val="left"/>
            </w:pPr>
            <w:r>
              <w:t>0 m³</w:t>
            </w:r>
          </w:p>
          <w:p>
            <w:pPr>
              <w:jc w:val="left"/>
            </w:pPr>
            <w:r>
              <w:t>(3 días, 10%)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8.725,5</w:t>
            </w:r>
          </w:p>
        </w:tc>
        <w:tc>
          <w:tcPr>
            <w:tcW w:type="dxa" w:w="1440"/>
            <w:noWrap/>
            <w:shd w:val="clear" w:fill="FFE6E6"/>
          </w:tcPr>
          <w:p>
            <w:pPr>
              <w:jc w:val="left"/>
            </w:pPr>
            <w:r>
              <w:rPr>
                <w:b/>
                <w:color w:val="FF0000"/>
              </w:rPr>
              <w:t>202</w:t>
            </w:r>
          </w:p>
        </w:tc>
        <w:tc>
          <w:tcPr>
            <w:tcW w:type="dxa" w:w="1440"/>
            <w:noWrap/>
            <w:shd w:val="clear" w:fill="FFE6E6"/>
          </w:tcPr>
          <w:p>
            <w:pPr>
              <w:jc w:val="left"/>
            </w:pPr>
            <w:r>
              <w:rPr>
                <w:b/>
                <w:color w:val="FF0000"/>
              </w:rPr>
              <w:t>452 m³</w:t>
            </w:r>
          </w:p>
        </w:tc>
        <w:tc>
          <w:tcPr>
            <w:tcW w:type="dxa" w:w="1440"/>
            <w:noWrap/>
            <w:shd w:val="clear" w:fill="FFE6E6"/>
          </w:tcPr>
          <w:p>
            <w:pPr>
              <w:jc w:val="left"/>
            </w:pPr>
            <w:r>
              <w:rPr>
                <w:b/>
                <w:color w:val="FF0000"/>
              </w:rPr>
              <w:t>1.107,3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EDUARDO DE LA BARRA (05-06-26):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8_02.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Eduardo de la Barra registró 21 alerta(s) durante 15 día(s) del periodo analizado. La periodicidad de las alertas es regular (más del 50% de los días). Se identificó una proyección de filtración de 318,4 m³ ($404.355), lo que indica un patrón de fuga constante durante el periodo.</w:t>
      </w:r>
    </w:p>
    <w:p/>
    <w:p>
      <w:pPr>
        <w:keepNext/>
        <w:widowControl/>
        <w:spacing w:after="60"/>
      </w:pPr>
      <w:r>
        <w:rPr>
          <w:b/>
          <w:color w:val="003366"/>
        </w:rPr>
        <w:t>DÍA CON MAYOR CONSUMO NOCTURNO - CARLOS FERNANDEZ P. (05-06-26):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08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Carlos Fernandez P. registró 23 alerta(s) durante 19 día(s) del periodo analizado. La periodicidad de las alertas es regular (más del 50% de los días). Se identificó una proyección de filtración de 46,9 m³ ($59.512), lo que indica un patrón de fuga constante durante el periodo.</w:t>
      </w:r>
    </w:p>
    <w:p/>
    <w:p>
      <w:pPr>
        <w:keepNext/>
        <w:widowControl/>
        <w:spacing w:after="60"/>
      </w:pPr>
      <w:r>
        <w:rPr>
          <w:b/>
          <w:color w:val="003366"/>
        </w:rPr>
        <w:t>DÍA CON MAYOR CONSUMO NOCTURNO - SANTA MARIA (02-06-26):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08_05.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Santa Maria registró 2 alerta(s) durante 2 día(s) del periodo analizado. La periodicidad de las alertas es puntual (menos del 20% de los días). Se identificó una proyección de filtración de 109,9 m³ ($139.560), lo que indica un patrón de fuga constante durante el periodo.</w:t>
      </w:r>
    </w:p>
    <w:p/>
    <w:p>
      <w:pPr>
        <w:keepNext/>
        <w:widowControl/>
        <w:spacing w:after="60"/>
      </w:pPr>
      <w:r>
        <w:rPr>
          <w:b/>
          <w:color w:val="003366"/>
        </w:rPr>
        <w:t>DÍA CON MAYOR CONSUMO NOCTURNO - LUIS ARRIETA CAÑA (30-06-26):</w:t>
      </w:r>
    </w:p>
    <w:p>
      <w:pPr>
        <w:keepNext/>
        <w:widowControl/>
        <w:spacing w:after="60"/>
        <w:jc w:val="center"/>
      </w:pPr>
      <w:r>
        <w:drawing>
          <wp:inline xmlns:a="http://schemas.openxmlformats.org/drawingml/2006/main" xmlns:pic="http://schemas.openxmlformats.org/drawingml/2006/picture">
            <wp:extent cx="5486400" cy="2704355"/>
            <wp:docPr id="6" name="Picture 6"/>
            <wp:cNvGraphicFramePr>
              <a:graphicFrameLocks noChangeAspect="1"/>
            </wp:cNvGraphicFramePr>
            <a:graphic>
              <a:graphicData uri="http://schemas.openxmlformats.org/drawingml/2006/picture">
                <pic:pic>
                  <pic:nvPicPr>
                    <pic:cNvPr id="0" name="chart_max_nocturnal_000008_06.png"/>
                    <pic:cNvPicPr/>
                  </pic:nvPicPr>
                  <pic:blipFill>
                    <a:blip r:embed="rId15"/>
                    <a:stretch>
                      <a:fillRect/>
                    </a:stretch>
                  </pic:blipFill>
                  <pic:spPr>
                    <a:xfrm>
                      <a:off x="0" y="0"/>
                      <a:ext cx="5486400" cy="2704355"/>
                    </a:xfrm>
                    <a:prstGeom prst="rect"/>
                  </pic:spPr>
                </pic:pic>
              </a:graphicData>
            </a:graphic>
          </wp:inline>
        </w:drawing>
      </w:r>
    </w:p>
    <w:p>
      <w:pPr>
        <w:jc w:val="both"/>
      </w:pPr>
      <w:r>
        <w:rPr>
          <w:color w:val="000000"/>
        </w:rPr>
        <w:t>El nodo Luis Arrieta Caña registró 4 alerta(s) durante 4 día(s) del periodo analizado. La periodicidad de las alertas es puntual (menos del 20% de los días). Se identificó una proyección de filtración de 361,2 m³ ($458.724), lo que indica un patrón de fuga constante durante el periodo.</w:t>
      </w:r>
    </w:p>
    <w:p/>
    <w:p>
      <w:pPr>
        <w:keepNext/>
        <w:widowControl/>
        <w:spacing w:after="60"/>
      </w:pPr>
      <w:r>
        <w:rPr>
          <w:b/>
          <w:color w:val="003366"/>
        </w:rPr>
        <w:t>DÍA CON MAYOR CONSUMO NOCTURNO - ERASMO ESCALA (05-06-26):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08_07.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Erasmo Escala registró 7 alerta(s) durante 7 día(s) del periodo analizado. La periodicidad de las alertas es intermitente (más del 20% de los días).</w:t>
      </w:r>
    </w:p>
    <w:p/>
    <w:p>
      <w:pPr>
        <w:keepNext/>
        <w:widowControl/>
        <w:spacing w:after="60"/>
      </w:pPr>
      <w:r>
        <w:rPr>
          <w:b/>
          <w:color w:val="003366"/>
        </w:rPr>
        <w:t>DÍA CON MAYOR CONSUMO NOCTURNO - ALICURA (18-06-26):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08_08.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Alicura registró 38 alerta(s) durante 27 día(s) del periodo analizado. La periodicidad de las alertas es frecuente (más del 80% de los días). Se identificó una proyección de filtración de 51,2 m³ ($64.999), lo que indica un patrón de fuga constante durante el periodo.</w:t>
      </w:r>
    </w:p>
    <w:p/>
    <w:p>
      <w:pPr>
        <w:keepNext/>
        <w:widowControl/>
        <w:spacing w:after="60"/>
      </w:pPr>
      <w:r>
        <w:rPr>
          <w:b/>
          <w:color w:val="003366"/>
        </w:rPr>
        <w:t>DÍA CON MAYOR CONSUMO NOCTURNO - MATILDE HUICI NAVAS (28-06-26):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08_10.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Matilde Huici Navas registró 14 alerta(s) durante 10 día(s) del periodo analizado. La periodicidad de las alertas es intermitente (más del 20% de los días).</w:t>
      </w:r>
    </w:p>
    <w:p/>
    <w:p>
      <w:pPr>
        <w:keepNext/>
        <w:widowControl/>
        <w:spacing w:after="60"/>
      </w:pPr>
      <w:r>
        <w:rPr>
          <w:b/>
          <w:color w:val="003366"/>
        </w:rPr>
        <w:t>DÍA CON MAYOR CONSUMO NOCTURNO - CE VALLE HERMOSO (16-06-26):</w:t>
      </w:r>
    </w:p>
    <w:p>
      <w:pPr>
        <w:keepNext/>
        <w:widowControl/>
        <w:spacing w:after="60"/>
        <w:jc w:val="center"/>
      </w:pPr>
      <w:r>
        <w:drawing>
          <wp:inline xmlns:a="http://schemas.openxmlformats.org/drawingml/2006/main" xmlns:pic="http://schemas.openxmlformats.org/drawingml/2006/picture">
            <wp:extent cx="5486400" cy="2704355"/>
            <wp:docPr id="10" name="Picture 10"/>
            <wp:cNvGraphicFramePr>
              <a:graphicFrameLocks noChangeAspect="1"/>
            </wp:cNvGraphicFramePr>
            <a:graphic>
              <a:graphicData uri="http://schemas.openxmlformats.org/drawingml/2006/picture">
                <pic:pic>
                  <pic:nvPicPr>
                    <pic:cNvPr id="0" name="chart_max_nocturnal_000008_11.png"/>
                    <pic:cNvPicPr/>
                  </pic:nvPicPr>
                  <pic:blipFill>
                    <a:blip r:embed="rId19"/>
                    <a:stretch>
                      <a:fillRect/>
                    </a:stretch>
                  </pic:blipFill>
                  <pic:spPr>
                    <a:xfrm>
                      <a:off x="0" y="0"/>
                      <a:ext cx="5486400" cy="2704355"/>
                    </a:xfrm>
                    <a:prstGeom prst="rect"/>
                  </pic:spPr>
                </pic:pic>
              </a:graphicData>
            </a:graphic>
          </wp:inline>
        </w:drawing>
      </w:r>
    </w:p>
    <w:p>
      <w:pPr>
        <w:jc w:val="both"/>
      </w:pPr>
      <w:r>
        <w:rPr>
          <w:color w:val="000000"/>
        </w:rPr>
        <w:t>El nodo CE Valle Hermoso registró 18 alerta(s) durante 15 día(s) del periodo analizado. La periodicidad de las alertas es regular (más del 50% de los días). Se identificó una proyección de filtración de 111,5 m³ ($141.580), lo que indica un patrón de fuga constante durante el periodo.</w:t>
      </w:r>
    </w:p>
    <w:p/>
    <w:p>
      <w:pPr>
        <w:keepNext/>
        <w:widowControl/>
        <w:spacing w:after="60"/>
      </w:pPr>
      <w:r>
        <w:rPr>
          <w:b/>
          <w:color w:val="003366"/>
        </w:rPr>
        <w:t>DÍA CON MAYOR CONSUMO NOCTURNO - LIKANKURA (05-06-26):</w:t>
      </w:r>
    </w:p>
    <w:p>
      <w:pPr>
        <w:keepNext/>
        <w:widowControl/>
        <w:spacing w:after="60"/>
        <w:jc w:val="center"/>
      </w:pPr>
      <w:r>
        <w:drawing>
          <wp:inline xmlns:a="http://schemas.openxmlformats.org/drawingml/2006/main" xmlns:pic="http://schemas.openxmlformats.org/drawingml/2006/picture">
            <wp:extent cx="5486400" cy="2702533"/>
            <wp:docPr id="11" name="Picture 11"/>
            <wp:cNvGraphicFramePr>
              <a:graphicFrameLocks noChangeAspect="1"/>
            </wp:cNvGraphicFramePr>
            <a:graphic>
              <a:graphicData uri="http://schemas.openxmlformats.org/drawingml/2006/picture">
                <pic:pic>
                  <pic:nvPicPr>
                    <pic:cNvPr id="0" name="chart_max_nocturnal_000008_13.png"/>
                    <pic:cNvPicPr/>
                  </pic:nvPicPr>
                  <pic:blipFill>
                    <a:blip r:embed="rId20"/>
                    <a:stretch>
                      <a:fillRect/>
                    </a:stretch>
                  </pic:blipFill>
                  <pic:spPr>
                    <a:xfrm>
                      <a:off x="0" y="0"/>
                      <a:ext cx="5486400" cy="2702533"/>
                    </a:xfrm>
                    <a:prstGeom prst="rect"/>
                  </pic:spPr>
                </pic:pic>
              </a:graphicData>
            </a:graphic>
          </wp:inline>
        </w:drawing>
      </w:r>
    </w:p>
    <w:p>
      <w:pPr>
        <w:jc w:val="both"/>
      </w:pPr>
      <w:r>
        <w:rPr>
          <w:color w:val="000000"/>
        </w:rPr>
        <w:t>El nodo Likankura registró 37 alerta(s) durante 25 día(s) del periodo analizado. La periodicidad de las alertas es frecuente (más del 80% de los días). Se identificó una proyección de filtración de 108,3 m³ ($137.579), lo que indica un patrón de fuga constante durante el periodo.</w:t>
      </w:r>
    </w:p>
    <w:p/>
    <w:p>
      <w:pPr>
        <w:keepNext/>
        <w:widowControl/>
        <w:spacing w:after="60"/>
      </w:pPr>
      <w:r>
        <w:rPr>
          <w:b/>
          <w:color w:val="003366"/>
        </w:rPr>
        <w:t>PERFILES HORARIOS Y PROYECCIÓN (SERIE API — ESTILO APP WES)</w:t>
      </w:r>
    </w:p>
    <w:p>
      <w:pPr>
        <w:jc w:val="both"/>
      </w:pPr>
      <w:r>
        <w:t>Los siguientes gráficos replican el perfil horario de la app WES (sin captura de pantalla). La proyección mensual usa consumo en madrugada (00:00–06:59) extrapolado a 24 h × 30 días, útil para estimar ahorro con equipo de control cuando no hay alertas MyAlert recientes.</w:t>
      </w:r>
    </w:p>
    <w:p/>
    <w:p>
      <w:pPr>
        <w:keepNext/>
        <w:widowControl/>
        <w:spacing w:after="60"/>
      </w:pPr>
      <w:r>
        <w:rPr>
          <w:b/>
          <w:color w:val="003366"/>
        </w:rPr>
        <w:t>LIC. ANTONIO HERMIDA F (000008-01)</w:t>
      </w:r>
    </w:p>
    <w:p>
      <w:r>
        <w:rPr>
          <w:b/>
        </w:rPr>
        <w:t xml:space="preserve">Consumo nocturno en el periodo: </w:t>
      </w:r>
      <w:r>
        <w:t xml:space="preserve">0,6 m³. </w:t>
      </w:r>
      <w:r>
        <w:rPr>
          <w:b/>
        </w:rPr>
        <w:t xml:space="preserve">Proyección a 30 días (24 h/día): </w:t>
      </w:r>
      <w:r>
        <w:t>2,1 m³ ($2.613 referencial).</w:t>
      </w:r>
    </w:p>
    <w:p>
      <w:r>
        <w:t>Nota: el patrón nocturno no supera el umbral del 75 % de días con consumo en madrugada; la proyección se muestra como estimación técnica a partir de la serie horaria.</w:t>
      </w:r>
    </w:p>
    <w:p>
      <w:pPr>
        <w:keepNext/>
        <w:widowControl/>
        <w:spacing w:after="60"/>
        <w:jc w:val="center"/>
      </w:pPr>
      <w:r>
        <w:drawing>
          <wp:inline xmlns:a="http://schemas.openxmlformats.org/drawingml/2006/main" xmlns:pic="http://schemas.openxmlformats.org/drawingml/2006/picture">
            <wp:extent cx="5486400" cy="2445387"/>
            <wp:docPr id="12" name="Picture 12"/>
            <wp:cNvGraphicFramePr>
              <a:graphicFrameLocks noChangeAspect="1"/>
            </wp:cNvGraphicFramePr>
            <a:graphic>
              <a:graphicData uri="http://schemas.openxmlformats.org/drawingml/2006/picture">
                <pic:pic>
                  <pic:nvPicPr>
                    <pic:cNvPr id="0" name="app_horario_000008_01.png"/>
                    <pic:cNvPicPr/>
                  </pic:nvPicPr>
                  <pic:blipFill>
                    <a:blip r:embed="rId21"/>
                    <a:stretch>
                      <a:fillRect/>
                    </a:stretch>
                  </pic:blipFill>
                  <pic:spPr>
                    <a:xfrm>
                      <a:off x="0" y="0"/>
                      <a:ext cx="5486400" cy="2445387"/>
                    </a:xfrm>
                    <a:prstGeom prst="rect"/>
                  </pic:spPr>
                </pic:pic>
              </a:graphicData>
            </a:graphic>
          </wp:inline>
        </w:drawing>
      </w:r>
    </w:p>
    <w:p/>
    <w:p>
      <w:pPr>
        <w:keepNext/>
        <w:widowControl/>
        <w:spacing w:after="60"/>
      </w:pPr>
      <w:r>
        <w:rPr>
          <w:b/>
          <w:color w:val="003366"/>
        </w:rPr>
        <w:t>TOBALABA (000008-04)</w:t>
      </w:r>
    </w:p>
    <w:p>
      <w:r>
        <w:rPr>
          <w:b/>
        </w:rPr>
        <w:t xml:space="preserve">Consumo nocturno en el periodo: </w:t>
      </w:r>
      <w:r>
        <w:t xml:space="preserve">81,4 m³. </w:t>
      </w:r>
      <w:r>
        <w:rPr>
          <w:b/>
        </w:rPr>
        <w:t xml:space="preserve">Proyección a 30 días (24 h/día): </w:t>
      </w:r>
      <w:r>
        <w:t>279,1 m³ ($354.439 referencial).</w:t>
      </w:r>
    </w:p>
    <w:p>
      <w:r>
        <w:t>Nota: el patrón nocturno no supera el umbral del 75 % de días con consumo en madrugada; la proyección se muestra como estimación técnica a partir de la serie horaria.</w:t>
      </w:r>
    </w:p>
    <w:p>
      <w:pPr>
        <w:keepNext/>
        <w:widowControl/>
        <w:spacing w:after="60"/>
        <w:jc w:val="center"/>
      </w:pPr>
      <w:r>
        <w:drawing>
          <wp:inline xmlns:a="http://schemas.openxmlformats.org/drawingml/2006/main" xmlns:pic="http://schemas.openxmlformats.org/drawingml/2006/picture">
            <wp:extent cx="5486400" cy="2445387"/>
            <wp:docPr id="13" name="Picture 13"/>
            <wp:cNvGraphicFramePr>
              <a:graphicFrameLocks noChangeAspect="1"/>
            </wp:cNvGraphicFramePr>
            <a:graphic>
              <a:graphicData uri="http://schemas.openxmlformats.org/drawingml/2006/picture">
                <pic:pic>
                  <pic:nvPicPr>
                    <pic:cNvPr id="0" name="app_horario_000008_04.png"/>
                    <pic:cNvPicPr/>
                  </pic:nvPicPr>
                  <pic:blipFill>
                    <a:blip r:embed="rId22"/>
                    <a:stretch>
                      <a:fillRect/>
                    </a:stretch>
                  </pic:blipFill>
                  <pic:spPr>
                    <a:xfrm>
                      <a:off x="0" y="0"/>
                      <a:ext cx="5486400" cy="2445387"/>
                    </a:xfrm>
                    <a:prstGeom prst="rect"/>
                  </pic:spPr>
                </pic:pic>
              </a:graphicData>
            </a:graphic>
          </wp:inline>
        </w:drawing>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4" name="Picture 14"/>
            <wp:cNvGraphicFramePr>
              <a:graphicFrameLocks noChangeAspect="1"/>
            </wp:cNvGraphicFramePr>
            <a:graphic>
              <a:graphicData uri="http://schemas.openxmlformats.org/drawingml/2006/picture">
                <pic:pic>
                  <pic:nvPicPr>
                    <pic:cNvPr id="0" name="chart_comparacion_mensual_agregada.png"/>
                    <pic:cNvPicPr/>
                  </pic:nvPicPr>
                  <pic:blipFill>
                    <a:blip r:embed="rId23"/>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Luis Arrieta Caña, CE Valle Hermoso, Eduardo de la Barra, Carlos Fernandez P., Santa Maria, Likankura y Alicura.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