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Análisis CORMUP Alicura</w:t>
      </w:r>
    </w:p>
    <w:p>
      <w:pPr>
        <w:jc w:val="center"/>
      </w:pPr>
      <w:r>
        <w:t>MONITOREO WES</w:t>
        <w:br/>
        <w:t>Alicura</w:t>
        <w:br/>
        <w:t>Rango: 01-02-26 - 28-02-26</w:t>
        <w:br/>
        <w:t>Generado: 03-03-26 13:46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22,6 m³.</w:t>
        <w:br/>
      </w:r>
      <w:r>
        <w:t>Promedio diario: 3,8 m³.</w:t>
        <w:br/>
      </w:r>
      <w:r>
        <w:t>Número de días del periodo del reporte: 28.</w:t>
        <w:br/>
      </w:r>
      <w:r>
        <w:t>Día pico: 26-02-26 (5,5 m³).</w:t>
        <w:br/>
      </w:r>
      <w:r>
        <w:t>Número de alertas de consumo nocturno: 6.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6 días. En el periodo falta día domingo.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08-0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jueves 26-02-26 con 5,5 m³. Este día corresponde a un día laboral, lo que típicamente se asocia con alta actividad hídrica. El análisis horario detallado de este día permite identificar los períodos de mayor demanda y los patrones de consumo específicos.</w:t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08-0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24-02-26: Aumento del 131,1% (de 1,2 m³ a 2,8 m³). El equipo de monitoreo WES alertó este evento. • 26-02-26: Aumento del 48,6% (de 3,7 m³ a 5,5 m³). El equipo de monitoreo WES alertó este evento. El día pico (26-02-26) registró un consumo de 5,5 m³, lo que representa un 45,8% por encima del promedio diario (3,8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979"/>
        <w:gridCol w:w="3221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22,6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3,8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113,2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5,5 m³ (26-02-26)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1,2 m³ (23-02-26)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990"/>
        <w:gridCol w:w="137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5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23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3,3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19,3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657600" cy="34011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401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pPr>
        <w:jc w:val="both"/>
      </w:pPr>
      <w:r>
        <w:rPr>
          <w:color w:val="000000"/>
        </w:rPr>
        <w:t>Los eventos de consumo nocturno provienen del punto Alicura y se utilizan para estimar el promedio diario de consumo nocturno y su proyección.</w:t>
      </w:r>
    </w:p>
    <w:p>
      <w:pPr>
        <w:jc w:val="both"/>
      </w:pPr>
      <w:r>
        <w:rPr>
          <w:color w:val="000000"/>
        </w:rPr>
        <w:t>Según el algoritmo implementado en el sistema WES de monitoreo en terreno, los valores presentados son los siguientes: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835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gas_000008-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35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(28-02-26):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day_000008-0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