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CORMUP Carlos Fernandez P.</w:t>
      </w:r>
    </w:p>
    <w:p>
      <w:pPr>
        <w:jc w:val="center"/>
      </w:pPr>
      <w:r>
        <w:t>MONITOREO WES</w:t>
        <w:br/>
        <w:t>Carlos Fernandez P.</w:t>
        <w:br/>
        <w:t>Rango: 01-03-26 - 31-03-26</w:t>
        <w:br/>
        <w:t>Generado: 31-03-26 17:14</w:t>
      </w:r>
    </w:p>
    <w:p>
      <w:pPr>
        <w:pStyle w:val="Heading1"/>
        <w:keepNext/>
        <w:widowControl/>
        <w:spacing w:after="60"/>
      </w:pPr>
      <w:r>
        <w:rPr>
          <w:b/>
          <w:color w:val="003366"/>
        </w:rPr>
        <w:t>RESUMEN EJECUTIVO</w:t>
      </w:r>
    </w:p>
    <w:p>
      <w:r>
        <w:t>Consumo total: 509,6 m³.</w:t>
        <w:br/>
      </w:r>
      <w:r>
        <w:t>Promedio diario: 16,4 m³.</w:t>
        <w:br/>
      </w:r>
      <w:r>
        <w:t>Número de días del periodo del reporte: 31.</w:t>
        <w:br/>
      </w:r>
      <w:r>
        <w:t>Día pico: 30-03-26 (37,8 m³).</w:t>
        <w:br/>
      </w:r>
      <w:r>
        <w:t>Número de alertas de consumo nocturno: 25.</w:t>
        <w:br/>
      </w:r>
    </w:p>
    <w:p>
      <w:pPr>
        <w:pStyle w:val="Heading1"/>
        <w:keepNext/>
        <w:widowControl/>
        <w:spacing w:after="60"/>
      </w:pPr>
      <w:r>
        <w:rPr>
          <w:b/>
          <w:color w:val="003366"/>
        </w:rPr>
        <w:t>CONSUMO</w:t>
      </w:r>
    </w:p>
    <w:p>
      <w:pPr>
        <w:jc w:val="both"/>
      </w:pPr>
      <w:r>
        <w:rPr>
          <w:color w:val="000000"/>
        </w:rPr>
        <w:t>En la gráfica se representan 31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08-03.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lunes 30-03-26 con 37,8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08-03.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4 semana(s) completa(s) (desde el lunes 2 de marzo de 2026 hasta el domingo 29 de marzo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08-03.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08-03.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09-03-26: Aumento del 989,8% (de 1,8 m³ a 19,2 m³). El equipo de monitoreo WES alertó este evento. • 30-03-26: Aumento del 845,8% (de 4 m³ a 37,8 m³). El día pico (30-03-26) registró un consumo de 37,8 m³, lo que representa un 130,1% por encima del promedio diario (16,4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509,6</w:t>
            </w:r>
          </w:p>
        </w:tc>
      </w:tr>
      <w:tr>
        <w:tc>
          <w:tcPr>
            <w:tcW w:type="dxa" w:w="4320"/>
            <w:noWrap/>
          </w:tcPr>
          <w:p>
            <w:r>
              <w:t>Promedio diario (m³)</w:t>
            </w:r>
          </w:p>
        </w:tc>
        <w:tc>
          <w:tcPr>
            <w:tcW w:type="dxa" w:w="4320"/>
            <w:noWrap/>
          </w:tcPr>
          <w:p>
            <w:r>
              <w:t>16,4</w:t>
            </w:r>
          </w:p>
        </w:tc>
      </w:tr>
      <w:tr>
        <w:tc>
          <w:tcPr>
            <w:tcW w:type="dxa" w:w="4320"/>
            <w:noWrap/>
          </w:tcPr>
          <w:p>
            <w:r>
              <w:t>Promedio mensual (m³)</w:t>
            </w:r>
          </w:p>
        </w:tc>
        <w:tc>
          <w:tcPr>
            <w:tcW w:type="dxa" w:w="4320"/>
            <w:noWrap/>
          </w:tcPr>
          <w:p>
            <w:r>
              <w:t>493,2</w:t>
            </w:r>
          </w:p>
        </w:tc>
      </w:tr>
      <w:tr>
        <w:tc>
          <w:tcPr>
            <w:tcW w:type="dxa" w:w="4320"/>
            <w:noWrap/>
          </w:tcPr>
          <w:p>
            <w:r>
              <w:t>Máximo diario</w:t>
            </w:r>
          </w:p>
        </w:tc>
        <w:tc>
          <w:tcPr>
            <w:tcW w:type="dxa" w:w="4320"/>
            <w:noWrap/>
          </w:tcPr>
          <w:p>
            <w:r>
              <w:t>37,8 m³ (30-03-26)</w:t>
            </w:r>
          </w:p>
        </w:tc>
      </w:tr>
      <w:tr>
        <w:tc>
          <w:tcPr>
            <w:tcW w:type="dxa" w:w="4320"/>
            <w:noWrap/>
          </w:tcPr>
          <w:p>
            <w:r>
              <w:t>Mínimo diario</w:t>
            </w:r>
          </w:p>
        </w:tc>
        <w:tc>
          <w:tcPr>
            <w:tcW w:type="dxa" w:w="4320"/>
            <w:noWrap/>
          </w:tcPr>
          <w:p>
            <w:r>
              <w:t>1,1 m³ (01-03-26)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960"/>
        <w:gridCol w:w="1400"/>
      </w:tblGrid>
      <w:tr>
        <w:tc>
          <w:tcPr>
            <w:tcW w:type="dxa" w:w="4320"/>
            <w:shd w:val="clear" w:fill="D9E1F2"/>
            <w:noWrap/>
          </w:tcPr>
          <w:p>
            <w:r>
              <w:t>Número de días con consumo nocturno</w:t>
            </w:r>
          </w:p>
        </w:tc>
        <w:tc>
          <w:tcPr>
            <w:tcW w:type="dxa" w:w="4320"/>
            <w:shd w:val="clear" w:fill="D9E1F2"/>
            <w:noWrap/>
          </w:tcPr>
          <w:p>
            <w:r>
              <w:t>31</w:t>
            </w:r>
          </w:p>
        </w:tc>
      </w:tr>
      <w:tr>
        <w:tc>
          <w:tcPr>
            <w:tcW w:type="dxa" w:w="4320"/>
            <w:noWrap/>
          </w:tcPr>
          <w:p>
            <w:r>
              <w:t>Número de días sin consumo nocturno</w:t>
            </w:r>
          </w:p>
        </w:tc>
        <w:tc>
          <w:tcPr>
            <w:tcW w:type="dxa" w:w="4320"/>
            <w:noWrap/>
          </w:tcPr>
          <w:p>
            <w:r>
              <w:t>0</w:t>
            </w:r>
          </w:p>
        </w:tc>
      </w:tr>
      <w:tr>
        <w:tc>
          <w:tcPr>
            <w:tcW w:type="dxa" w:w="4320"/>
            <w:noWrap/>
          </w:tcPr>
          <w:p>
            <w:r>
              <w:t>Consumo nocturno (m³)</w:t>
            </w:r>
          </w:p>
        </w:tc>
        <w:tc>
          <w:tcPr>
            <w:tcW w:type="dxa" w:w="4320"/>
            <w:noWrap/>
          </w:tcPr>
          <w:p>
            <w:r>
              <w:t>46,8</w:t>
            </w:r>
          </w:p>
        </w:tc>
      </w:tr>
      <w:tr>
        <w:tc>
          <w:tcPr>
            <w:tcW w:type="dxa" w:w="4320"/>
            <w:noWrap/>
          </w:tcPr>
          <w:p>
            <w:r>
              <w:t>Consumo diurno efectivo (m³)</w:t>
            </w:r>
          </w:p>
        </w:tc>
        <w:tc>
          <w:tcPr>
            <w:tcW w:type="dxa" w:w="4320"/>
            <w:noWrap/>
          </w:tcPr>
          <w:p>
            <w:r>
              <w:t>462,8</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3520993"/>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3520993"/>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Carlos Fernandez P.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08-03.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(31-03-26):</w:t>
      </w:r>
    </w:p>
    <w:p>
      <w:pPr>
        <w:keepNext/>
        <w:widowControl/>
        <w:spacing w:after="60"/>
        <w:jc w:val="center"/>
      </w:pPr>
      <w:r>
        <w:drawing>
          <wp:inline xmlns:a="http://schemas.openxmlformats.org/drawingml/2006/main" xmlns:pic="http://schemas.openxmlformats.org/drawingml/2006/picture">
            <wp:extent cx="5486400" cy="2704355"/>
            <wp:docPr id="7" name="Picture 7"/>
            <wp:cNvGraphicFramePr>
              <a:graphicFrameLocks noChangeAspect="1"/>
            </wp:cNvGraphicFramePr>
            <a:graphic>
              <a:graphicData uri="http://schemas.openxmlformats.org/drawingml/2006/picture">
                <pic:pic>
                  <pic:nvPicPr>
                    <pic:cNvPr id="0" name="chart_max_nocturnal_day_000008-03.png"/>
                    <pic:cNvPicPr/>
                  </pic:nvPicPr>
                  <pic:blipFill>
                    <a:blip r:embed="rId16"/>
                    <a:stretch>
                      <a:fillRect/>
                    </a:stretch>
                  </pic:blipFill>
                  <pic:spPr>
                    <a:xfrm>
                      <a:off x="0" y="0"/>
                      <a:ext cx="5486400" cy="2704355"/>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(100%) y el periodo del reporte es mayor o igual a 7 días (31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72"/>
        <w:gridCol w:w="1388"/>
      </w:tblGrid>
      <w:tr>
        <w:tc>
          <w:tcPr>
            <w:tcW w:type="dxa" w:w="4320"/>
            <w:shd w:val="clear" w:fill="D9E1F2"/>
            <w:noWrap/>
          </w:tcPr>
          <w:p>
            <w:r>
              <w:t>Promedio hora consumo nocturno (m³/h)</w:t>
            </w:r>
          </w:p>
        </w:tc>
        <w:tc>
          <w:tcPr>
            <w:tcW w:type="dxa" w:w="4320"/>
            <w:shd w:val="clear" w:fill="D9E1F2"/>
            <w:noWrap/>
          </w:tcPr>
          <w:p>
            <w:r>
              <w:t>0,25</w:t>
            </w:r>
          </w:p>
        </w:tc>
      </w:tr>
      <w:tr>
        <w:tc>
          <w:tcPr>
            <w:tcW w:type="dxa" w:w="4320"/>
            <w:noWrap/>
          </w:tcPr>
          <w:p>
            <w:r>
              <w:t>Proyección día filtración (m³/día)</w:t>
            </w:r>
          </w:p>
        </w:tc>
        <w:tc>
          <w:tcPr>
            <w:tcW w:type="dxa" w:w="4320"/>
            <w:noWrap/>
          </w:tcPr>
          <w:p>
            <w:r>
              <w:t>6</w:t>
            </w:r>
          </w:p>
        </w:tc>
      </w:tr>
      <w:tr>
        <w:tc>
          <w:tcPr>
            <w:tcW w:type="dxa" w:w="4320"/>
            <w:noWrap/>
          </w:tcPr>
          <w:p>
            <w:r>
              <w:t>Proyección filtración del periodo (m³)</w:t>
            </w:r>
          </w:p>
        </w:tc>
        <w:tc>
          <w:tcPr>
            <w:tcW w:type="dxa" w:w="4320"/>
            <w:noWrap/>
          </w:tcPr>
          <w:p>
            <w:r>
              <w:t>187,2</w:t>
            </w:r>
          </w:p>
        </w:tc>
      </w:tr>
      <w:tr>
        <w:tc>
          <w:tcPr>
            <w:tcW w:type="dxa" w:w="4320"/>
            <w:noWrap/>
          </w:tcPr>
          <w:p>
            <w:r>
              <w:t>Consumo efectivo del periodo (m³)</w:t>
            </w:r>
          </w:p>
        </w:tc>
        <w:tc>
          <w:tcPr>
            <w:tcW w:type="dxa" w:w="4320"/>
            <w:noWrap/>
          </w:tcPr>
          <w:p>
            <w:r>
              <w:t>322,4</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