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Eduardo de la Barra</w:t>
      </w:r>
    </w:p>
    <w:p>
      <w:pPr>
        <w:jc w:val="center"/>
      </w:pPr>
      <w:r>
        <w:t>MONITOREO WES</w:t>
        <w:br/>
        <w:t>Eduardo de la Barra</w:t>
        <w:br/>
        <w:t>Rango: 01-02-26 - 28-02-26</w:t>
        <w:br/>
        <w:t>Generado: 05-03-26 20:18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9,9 m³.</w:t>
        <w:br/>
      </w:r>
      <w:r>
        <w:t>Promedio diario: 0,4 m³.</w:t>
        <w:br/>
      </w:r>
      <w:r>
        <w:t>Número de días del periodo del reporte: 28.</w:t>
        <w:br/>
      </w:r>
      <w:r>
        <w:t>Día pico: 26-02-26 (2,6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2,6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26-02-26: Aumento del 261,1% (de 0,7 m³ a 2,6 m³). El día pico (26-02-26) registró un consumo de 2,6 m³, lo que representa un 633,9% por encima del promedio diario (0,4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9,9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0,4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10,6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2,6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9,9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