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Eduardo de la Barra</w:t>
      </w:r>
    </w:p>
    <w:p>
      <w:pPr>
        <w:jc w:val="center"/>
      </w:pPr>
      <w:r>
        <w:t>MONITOREO WES</w:t>
        <w:br/>
        <w:t>Eduardo de la Barra</w:t>
        <w:br/>
        <w:t>Rango: 01-03-26 - 31-03-26</w:t>
        <w:br/>
        <w:t>Generado: 31-03-26 17:13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432,5 m³.</w:t>
        <w:br/>
      </w:r>
      <w:r>
        <w:t>Promedio diario: 14 m³.</w:t>
        <w:br/>
      </w:r>
      <w:r>
        <w:t>Número de días del periodo del reporte: 31.</w:t>
        <w:br/>
      </w:r>
      <w:r>
        <w:t>Día pico: 19-03-26 (24,1 m³).</w:t>
        <w:br/>
      </w:r>
      <w:r>
        <w:t>Número de alertas de consumo nocturno: 15.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31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19-03-26 con 24,1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4 semana(s) completa(s) (desde el lunes 2 de marzo de 2026 hasta el domingo 29 de marzo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04-03-26: Aumento del 198,5% (de 3,9 m³ a 11,6 m³). • 23-03-26: Aumento del 91,7% (de 12,5 m³ a 23,9 m³). El equipo de monitoreo WES alertó este evento. El día pico (19-03-26) registró un consumo de 24,1 m³, lo que representa un 72,9% por encima del promedio diario (14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432,5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418,6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24,1 m³ (19-03-26)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(01-03-26)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960"/>
        <w:gridCol w:w="140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20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11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62,9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369,6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408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0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Eduardo de la Barra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(29-03-26):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