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Lic. Antonio Hermida F</w:t>
      </w:r>
    </w:p>
    <w:p>
      <w:pPr>
        <w:jc w:val="center"/>
      </w:pPr>
      <w:r>
        <w:t>MONITOREO WES</w:t>
        <w:br/>
        <w:t>Lic. Antonio Hermida F</w:t>
        <w:br/>
        <w:t>Rango: 01-03-26 - 31-03-26</w:t>
        <w:br/>
        <w:t>Generado: 31-03-26 14:47</w:t>
      </w:r>
    </w:p>
    <w:p>
      <w:pPr>
        <w:pStyle w:val="Heading1"/>
        <w:keepNext/>
        <w:widowControl/>
        <w:spacing w:after="60"/>
      </w:pPr>
      <w:r>
        <w:rPr>
          <w:b/>
          <w:color w:val="003366"/>
        </w:rPr>
        <w:t>RESUMEN EJECUTIVO</w:t>
      </w:r>
    </w:p>
    <w:p>
      <w:r>
        <w:t>Consumo total: 1.815,6 m³.</w:t>
        <w:br/>
      </w:r>
      <w:r>
        <w:t>Promedio diario: 58,6 m³.</w:t>
        <w:br/>
      </w:r>
      <w:r>
        <w:t>Número de días del periodo del reporte: 31.</w:t>
        <w:br/>
      </w:r>
      <w:r>
        <w:t>Día pico: 18-03-26 (108,6 m³).</w:t>
        <w:br/>
      </w:r>
      <w:r>
        <w:t>Número de alertas de consumo nocturno: 22.</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18-03-26 con 108,6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4 semana(s) completa(s) (desde el lunes 2 de marzo de 2026 hasta el domingo 29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23-03-26: Aumento del 61.400% (de 0,1 m³ a 61,5 m³). El equipo de monitoreo WES alertó este evento. • 30-03-26: Aumento del 254,9% (de 25,5 m³ a 90,5 m³). El equipo de monitoreo WES alertó este evento. El día pico (18-03-26) registró un consumo de 108,6 m³, lo que representa un 85,4% por encima del promedio diario (58,6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1.815,6</w:t>
            </w:r>
          </w:p>
        </w:tc>
      </w:tr>
      <w:tr>
        <w:tc>
          <w:tcPr>
            <w:tcW w:type="dxa" w:w="4320"/>
            <w:noWrap/>
          </w:tcPr>
          <w:p>
            <w:r>
              <w:t>Promedio diario (m³)</w:t>
            </w:r>
          </w:p>
        </w:tc>
        <w:tc>
          <w:tcPr>
            <w:tcW w:type="dxa" w:w="4320"/>
            <w:noWrap/>
          </w:tcPr>
          <w:p>
            <w:r>
              <w:t>58,6</w:t>
            </w:r>
          </w:p>
        </w:tc>
      </w:tr>
      <w:tr>
        <w:tc>
          <w:tcPr>
            <w:tcW w:type="dxa" w:w="4320"/>
            <w:noWrap/>
          </w:tcPr>
          <w:p>
            <w:r>
              <w:t>Promedio mensual (m³)</w:t>
            </w:r>
          </w:p>
        </w:tc>
        <w:tc>
          <w:tcPr>
            <w:tcW w:type="dxa" w:w="4320"/>
            <w:noWrap/>
          </w:tcPr>
          <w:p>
            <w:r>
              <w:t>1.757</w:t>
            </w:r>
          </w:p>
        </w:tc>
      </w:tr>
      <w:tr>
        <w:tc>
          <w:tcPr>
            <w:tcW w:type="dxa" w:w="4320"/>
            <w:noWrap/>
          </w:tcPr>
          <w:p>
            <w:r>
              <w:t>Máximo diario</w:t>
            </w:r>
          </w:p>
        </w:tc>
        <w:tc>
          <w:tcPr>
            <w:tcW w:type="dxa" w:w="4320"/>
            <w:noWrap/>
          </w:tcPr>
          <w:p>
            <w:r>
              <w:t>108,6 m³ (18-03-26)</w:t>
            </w:r>
          </w:p>
        </w:tc>
      </w:tr>
      <w:tr>
        <w:tc>
          <w:tcPr>
            <w:tcW w:type="dxa" w:w="4320"/>
            <w:noWrap/>
          </w:tcPr>
          <w:p>
            <w:r>
              <w:t>Mínimo diario</w:t>
            </w:r>
          </w:p>
        </w:tc>
        <w:tc>
          <w:tcPr>
            <w:tcW w:type="dxa" w:w="4320"/>
            <w:noWrap/>
          </w:tcPr>
          <w:p>
            <w:r>
              <w:t>0 m³ (21-03-26)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4</w:t>
            </w:r>
          </w:p>
        </w:tc>
      </w:tr>
      <w:tr>
        <w:tc>
          <w:tcPr>
            <w:tcW w:type="dxa" w:w="4320"/>
            <w:noWrap/>
          </w:tcPr>
          <w:p>
            <w:r>
              <w:t>Consumo nocturno (m³)</w:t>
            </w:r>
          </w:p>
        </w:tc>
        <w:tc>
          <w:tcPr>
            <w:tcW w:type="dxa" w:w="4320"/>
            <w:noWrap/>
          </w:tcPr>
          <w:p>
            <w:r>
              <w:t>270,9</w:t>
            </w:r>
          </w:p>
        </w:tc>
      </w:tr>
      <w:tr>
        <w:tc>
          <w:tcPr>
            <w:tcW w:type="dxa" w:w="4320"/>
            <w:noWrap/>
          </w:tcPr>
          <w:p>
            <w:r>
              <w:t>Consumo diurno efectivo (m³)</w:t>
            </w:r>
          </w:p>
        </w:tc>
        <w:tc>
          <w:tcPr>
            <w:tcW w:type="dxa" w:w="4320"/>
            <w:noWrap/>
          </w:tcPr>
          <w:p>
            <w:r>
              <w:t>1.544,7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39594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39594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 Antonio Hermida F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(18-03-26):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(87,1%)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1,46</w:t>
            </w:r>
          </w:p>
        </w:tc>
      </w:tr>
      <w:tr>
        <w:tc>
          <w:tcPr>
            <w:tcW w:type="dxa" w:w="4320"/>
            <w:noWrap/>
          </w:tcPr>
          <w:p>
            <w:r>
              <w:t>Proyección día filtración (m³/día)</w:t>
            </w:r>
          </w:p>
        </w:tc>
        <w:tc>
          <w:tcPr>
            <w:tcW w:type="dxa" w:w="4320"/>
            <w:noWrap/>
          </w:tcPr>
          <w:p>
            <w:r>
              <w:t>35</w:t>
            </w:r>
          </w:p>
        </w:tc>
      </w:tr>
      <w:tr>
        <w:tc>
          <w:tcPr>
            <w:tcW w:type="dxa" w:w="4320"/>
            <w:noWrap/>
          </w:tcPr>
          <w:p>
            <w:r>
              <w:t>Proyección filtración del periodo (m³)</w:t>
            </w:r>
          </w:p>
        </w:tc>
        <w:tc>
          <w:tcPr>
            <w:tcW w:type="dxa" w:w="4320"/>
            <w:noWrap/>
          </w:tcPr>
          <w:p>
            <w:r>
              <w:t>1.083,6</w:t>
            </w:r>
          </w:p>
        </w:tc>
      </w:tr>
      <w:tr>
        <w:tc>
          <w:tcPr>
            <w:tcW w:type="dxa" w:w="4320"/>
            <w:noWrap/>
          </w:tcPr>
          <w:p>
            <w:r>
              <w:t>Consumo efectivo del periodo (m³)</w:t>
            </w:r>
          </w:p>
        </w:tc>
        <w:tc>
          <w:tcPr>
            <w:tcW w:type="dxa" w:w="4320"/>
            <w:noWrap/>
          </w:tcPr>
          <w:p>
            <w:r>
              <w:t>732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