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Club Providencia</w:t>
      </w:r>
    </w:p>
    <w:p>
      <w:pPr>
        <w:jc w:val="center"/>
      </w:pPr>
      <w:r>
        <w:t>MONITOREO WES</w:t>
        <w:br/>
        <w:t>Análisis consolidado de 2 puntos de monitoreo</w:t>
        <w:br/>
        <w:t>Rango: 01-03-26 - 31-03-26</w:t>
        <w:br/>
        <w:t>Generado: 02-04-26 21:16</w:t>
      </w:r>
    </w:p>
    <w:p>
      <w:pPr>
        <w:pStyle w:val="Heading1"/>
        <w:keepNext/>
        <w:widowControl/>
        <w:spacing w:after="60"/>
      </w:pPr>
      <w:r>
        <w:rPr>
          <w:b/>
          <w:color w:val="003366"/>
        </w:rPr>
        <w:t>RESUMEN EJECUTIVO AGREGADO</w:t>
      </w:r>
    </w:p>
    <w:p>
      <w:r>
        <w:t>Puntos de monitoreo analizados: 2.</w:t>
        <w:br/>
      </w:r>
      <w:r>
        <w:t>Consumo total agregado: 4.888,9 m³.</w:t>
        <w:br/>
      </w:r>
      <w:r>
        <w:t>Consumo promedio por punto: 2.444,5 m³.</w:t>
        <w:br/>
      </w:r>
      <w:r>
        <w:t>Total de alertas registradas: 5.</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Matriz Fitness, con un total de 2.857,7 m³ durante el periodo analizado. Este valor se encuentra cercano al promedio de 2.444,5 m³ por punto. Por otro lado, el punto con menor consumo es Matriz Piscina, con un total de 2.031,2 m³. Este valor también se encuentra cercano al promedio. Los puntos muestran consumos relativamente homogéneos, con una diferencia limitada entre el máximo y el mínimo.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21"/>
        <w:gridCol w:w="930"/>
        <w:gridCol w:w="1196"/>
        <w:gridCol w:w="1063"/>
        <w:gridCol w:w="1595"/>
        <w:gridCol w:w="1595"/>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Matriz Fitness</w:t>
            </w:r>
          </w:p>
        </w:tc>
        <w:tc>
          <w:tcPr>
            <w:tcW w:type="dxa" w:w="1440"/>
            <w:noWrap/>
          </w:tcPr>
          <w:p>
            <w:r>
              <w:t>2.857,7</w:t>
            </w:r>
          </w:p>
        </w:tc>
        <w:tc>
          <w:tcPr>
            <w:tcW w:type="dxa" w:w="1440"/>
            <w:noWrap/>
          </w:tcPr>
          <w:p>
            <w:r>
              <w:t>1</w:t>
            </w:r>
          </w:p>
        </w:tc>
        <w:tc>
          <w:tcPr>
            <w:tcW w:type="dxa" w:w="1440"/>
            <w:noWrap/>
          </w:tcPr>
          <w:p>
            <w:pPr>
              <w:jc w:val="left"/>
            </w:pPr>
            <w:r>
              <w:t>707 m³</w:t>
            </w:r>
          </w:p>
          <w:p>
            <w:pPr>
              <w:jc w:val="left"/>
            </w:pPr>
            <w:r>
              <w:t>(31 días, 100%)</w:t>
            </w:r>
          </w:p>
        </w:tc>
        <w:tc>
          <w:tcPr>
            <w:tcW w:type="dxa" w:w="1440"/>
            <w:noWrap/>
          </w:tcPr>
          <w:p>
            <w:pPr>
              <w:jc w:val="left"/>
            </w:pPr>
            <w:r>
              <w:t>2.828 m³</w:t>
            </w:r>
          </w:p>
          <w:p>
            <w:pPr>
              <w:jc w:val="left"/>
            </w:pPr>
            <w:r>
              <w:t>(99%)</w:t>
            </w:r>
          </w:p>
        </w:tc>
      </w:tr>
      <w:tr>
        <w:tc>
          <w:tcPr>
            <w:tcW w:type="dxa" w:w="1440"/>
            <w:noWrap/>
          </w:tcPr>
          <w:p>
            <w:r>
              <w:t>2</w:t>
            </w:r>
          </w:p>
        </w:tc>
        <w:tc>
          <w:tcPr>
            <w:tcW w:type="dxa" w:w="1440"/>
            <w:noWrap/>
          </w:tcPr>
          <w:p>
            <w:r>
              <w:t>Matriz Piscina</w:t>
            </w:r>
          </w:p>
        </w:tc>
        <w:tc>
          <w:tcPr>
            <w:tcW w:type="dxa" w:w="1440"/>
            <w:noWrap/>
          </w:tcPr>
          <w:p>
            <w:r>
              <w:t>2.031,2</w:t>
            </w:r>
          </w:p>
        </w:tc>
        <w:tc>
          <w:tcPr>
            <w:tcW w:type="dxa" w:w="1440"/>
            <w:noWrap/>
          </w:tcPr>
          <w:p>
            <w:r>
              <w:t>4</w:t>
            </w:r>
          </w:p>
        </w:tc>
        <w:tc>
          <w:tcPr>
            <w:tcW w:type="dxa" w:w="1440"/>
            <w:noWrap/>
          </w:tcPr>
          <w:p>
            <w:pPr>
              <w:jc w:val="left"/>
            </w:pPr>
            <w:r>
              <w:t>947,8 m³</w:t>
            </w:r>
          </w:p>
          <w:p>
            <w:pPr>
              <w:jc w:val="left"/>
            </w:pPr>
            <w:r>
              <w:t>(31 días, 100%)</w:t>
            </w:r>
          </w:p>
        </w:tc>
        <w:tc>
          <w:tcPr>
            <w:tcW w:type="dxa" w:w="1440"/>
            <w:noWrap/>
          </w:tcPr>
          <w:p>
            <w:pPr>
              <w:jc w:val="left"/>
            </w:pPr>
            <w:r>
              <w:t>3.791,3 m³</w:t>
            </w:r>
          </w:p>
          <w:p>
            <w:pPr>
              <w:jc w:val="left"/>
            </w:pPr>
            <w:r>
              <w:t>(186,7%)</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4.888,9</w:t>
            </w:r>
          </w:p>
        </w:tc>
        <w:tc>
          <w:tcPr>
            <w:tcW w:type="dxa" w:w="1440"/>
            <w:noWrap/>
            <w:shd w:val="clear" w:fill="FFE6E6"/>
          </w:tcPr>
          <w:p>
            <w:pPr>
              <w:jc w:val="left"/>
            </w:pPr>
            <w:r>
              <w:rPr>
                <w:b/>
                <w:color w:val="FF0000"/>
              </w:rPr>
              <w:t>5</w:t>
            </w:r>
          </w:p>
        </w:tc>
        <w:tc>
          <w:tcPr>
            <w:tcW w:type="dxa" w:w="1440"/>
            <w:noWrap/>
            <w:shd w:val="clear" w:fill="FFE6E6"/>
          </w:tcPr>
          <w:p>
            <w:pPr>
              <w:jc w:val="left"/>
            </w:pPr>
            <w:r>
              <w:rPr>
                <w:b/>
                <w:color w:val="FF0000"/>
              </w:rPr>
              <w:t>1.654,8 m³</w:t>
            </w:r>
          </w:p>
        </w:tc>
        <w:tc>
          <w:tcPr>
            <w:tcW w:type="dxa" w:w="1440"/>
            <w:noWrap/>
            <w:shd w:val="clear" w:fill="FFE6E6"/>
          </w:tcPr>
          <w:p>
            <w:pPr>
              <w:jc w:val="left"/>
            </w:pPr>
            <w:r>
              <w:rPr>
                <w:b/>
                <w:color w:val="FF0000"/>
              </w:rPr>
              <w:t>6.619,4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MATRIZ FITNESS (10-03-26):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31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Matriz Fitness registró 1 alerta(s) durante 1 día(s) del periodo analizado. La periodicidad de las alertas es puntual (menos del 20% de los días). Se identificó una proyección de filtración de 2.828 m³ ($3.535.050), lo que indica un patrón de fuga constante durante el periodo.</w:t>
      </w:r>
    </w:p>
    <w:p/>
    <w:p>
      <w:pPr>
        <w:keepNext/>
        <w:widowControl/>
        <w:spacing w:after="60"/>
      </w:pPr>
      <w:r>
        <w:rPr>
          <w:b/>
          <w:color w:val="003366"/>
        </w:rPr>
        <w:t>DÍA CON MAYOR CONSUMO NOCTURNO - MATRIZ PISCINA (22-03-26):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31_02.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Matriz Piscina registró 4 alerta(s) durante 4 día(s) del periodo analizado. La periodicidad de las alertas es puntual (menos del 20% de los días). Se identificó una proyección de filtración de 3.791,3 m³ ($4.739.150),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Matriz Fitness y Matriz Piscina.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