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01-05-26 - 31-05-26</w:t>
        <w:br/>
        <w:t>Generado: 01-06-26 14:59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8.534,8 m³.</w:t>
        <w:br/>
      </w:r>
      <w:r>
        <w:t>Consumo promedio por punto: 4.267,4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Matriz Piscina, con un total de 4.888,2 m³ durante el periodo analizado. Este valor se encuentra cercano al promedio de 4.267,4 m³ por punto. Por otro lado, el punto con menor consumo es Matriz Fitness, con un total de 3.646,6 m³. Este valor también se encuentra cercano al promedio. Los puntos muestran consumos relativamente homogéneos, con una diferencia limitada entre el máximo y el mínimo.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911"/>
        <w:gridCol w:w="1172"/>
        <w:gridCol w:w="1042"/>
        <w:gridCol w:w="1693"/>
        <w:gridCol w:w="1562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Matriz Piscina</w:t>
            </w:r>
          </w:p>
        </w:tc>
        <w:tc>
          <w:tcPr>
            <w:tcW w:type="dxa" w:w="1440"/>
            <w:noWrap/>
          </w:tcPr>
          <w:p>
            <w:r>
              <w:t>4.888,2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1.112,2 m³</w:t>
            </w:r>
          </w:p>
          <w:p>
            <w:pPr>
              <w:jc w:val="left"/>
            </w:pPr>
            <w:r>
              <w:t>(31 días, 100%)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3.813,2 m³</w:t>
            </w:r>
          </w:p>
          <w:p>
            <w:pPr>
              <w:jc w:val="left"/>
            </w:pPr>
            <w:r>
              <w:t>(78%)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Matriz Fitness</w:t>
            </w:r>
          </w:p>
        </w:tc>
        <w:tc>
          <w:tcPr>
            <w:tcW w:type="dxa" w:w="1440"/>
            <w:noWrap/>
          </w:tcPr>
          <w:p>
            <w:r>
              <w:t>3.646,6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786,9 m³</w:t>
            </w:r>
          </w:p>
          <w:p>
            <w:pPr>
              <w:jc w:val="left"/>
            </w:pPr>
            <w:r>
              <w:t>(28 días, 96,6%)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2.697,8 m³</w:t>
            </w:r>
          </w:p>
          <w:p>
            <w:pPr>
              <w:jc w:val="left"/>
            </w:pPr>
            <w:r>
              <w:t>(74%)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8.534,8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1.899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6.511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Matriz Piscina y Matriz Fitness.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