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Club Providencia</w:t>
      </w:r>
    </w:p>
    <w:p>
      <w:pPr>
        <w:jc w:val="center"/>
      </w:pPr>
      <w:r>
        <w:t>MONITOREO WES</w:t>
        <w:br/>
        <w:t>Análisis consolidado de 2 puntos de monitoreo</w:t>
        <w:br/>
        <w:t>Rango: 01-06-26 - 30-06-26</w:t>
        <w:br/>
        <w:t>Generado: 01-07-26 15:03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8.480,7 m³.</w:t>
        <w:br/>
      </w:r>
      <w:r>
        <w:t>Consumo promedio por punto: 4.240,4 m³.</w:t>
        <w:br/>
      </w:r>
      <w:r>
        <w:t>Total de alertas registradas: 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Matriz Fitness, con un total de 6.204,8 m³ durante el periodo analizado. Este valor representa un 46,3% por encima del promedio (4.240,4 m³ por punto), indicando una demanda significativamente superior a la media. Por otro lado, el punto con menor consumo es Matriz Piscina, con un total de 2.275,9 m³. Este valor representa un 46,3% por debajo del promedio, mostrando una demanda significativamente inferior. La diferencia entre el punto de mayor y menor consumo es considerable, siendo el consumo máximo aproximadamente 2,7 veces superior al mínimo, lo que sugiere variaciones significativas en los patrones de uso entre los diferentes puntos de monitoreo.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FITNESS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diario_00003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MATRIZ PISCINA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diario_00003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FITNESS — 25/06/2026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max_dia_000031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Fitness fue el 25/06/2026 con 778.0 m³ registrados, un 276 % por sobre el promedio diario del periodo (206.8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PISCINA — 30/06/2026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max_dia_000031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Piscina fue el 30/06/2026 con 139.4 m³ registrados, un 78 % por sobre el promedio diario del periodo (78.5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2"/>
        <w:gridCol w:w="940"/>
        <w:gridCol w:w="1209"/>
        <w:gridCol w:w="1074"/>
        <w:gridCol w:w="1813"/>
        <w:gridCol w:w="1343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Costo nocturno (CLP)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Matriz Fitness</w:t>
            </w:r>
          </w:p>
        </w:tc>
        <w:tc>
          <w:tcPr>
            <w:tcW w:type="dxa" w:w="1440"/>
            <w:noWrap/>
          </w:tcPr>
          <w:p>
            <w:r>
              <w:t>6.204,8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2.065,1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  <w:noWrap/>
          </w:tcPr>
          <w:p>
            <w:r>
              <w:t>$2.581.341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Matriz Piscina</w:t>
            </w:r>
          </w:p>
        </w:tc>
        <w:tc>
          <w:tcPr>
            <w:tcW w:type="dxa" w:w="1440"/>
            <w:noWrap/>
          </w:tcPr>
          <w:p>
            <w:r>
              <w:t>2.275,9</w:t>
            </w:r>
          </w:p>
        </w:tc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524,8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  <w:noWrap/>
          </w:tcPr>
          <w:p>
            <w:r>
              <w:t>$655.991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8.480,7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3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2.589,9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$3.237.332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jc w:val="both"/>
      </w:pPr>
      <w:r>
        <w:rPr>
          <w:b/>
        </w:rPr>
        <w:t xml:space="preserve">Horario nocturno considerado: </w:t>
      </w:r>
      <w: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1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consumo_nocturno_peri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por punto</w:t>
      </w:r>
    </w:p>
    <w:p>
      <w:pPr>
        <w:jc w:val="both"/>
      </w:pPr>
      <w:r>
        <w:t>• Matriz Fitness: 2.065,1 m³ nocturnos (29 días con consumo 00:00–06:59) — $2.581.341</w:t>
      </w:r>
    </w:p>
    <w:p>
      <w:pPr>
        <w:jc w:val="both"/>
      </w:pPr>
      <w:r>
        <w:t>• Matriz Piscina: 524,8 m³ nocturnos (29 días con consumo 00:00–06:59) — $655.991</w:t>
      </w:r>
    </w:p>
    <w:p>
      <w:r>
        <w:rPr>
          <w:b/>
        </w:rPr>
        <w:t xml:space="preserve">Total club (periodo): </w:t>
      </w:r>
      <w:r>
        <w:t>2.589,9 m³ — $3.237.332</w:t>
      </w:r>
    </w:p>
    <w:p/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jc w:val="both"/>
      </w:pPr>
      <w:r>
        <w:rPr>
          <w:color w:val="000000"/>
        </w:rPr>
        <w:t>Durante los 30 días del periodo, el club registró un total de 2.589,9 m³ en horario nocturno (Matriz Fitness (2.065,1 m³) y Matriz Piscina (524,8 m³)), equivalente a $3.237.332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