
<file path=[Content_Types].xml><?xml version="1.0" encoding="utf-8"?>
<Types xmlns="http://schemas.openxmlformats.org/package/2006/content-types">
  <Default Extension="bmp" ContentType="image/bmp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sz w:val="48"/>
        </w:rPr>
        <w:t>Reporte Agregado - Club Providencia</w:t>
      </w:r>
    </w:p>
    <w:p>
      <w:pPr>
        <w:jc w:val="center"/>
      </w:pPr>
      <w:r>
        <w:t>MONITOREO WES</w:t>
        <w:br/>
        <w:t>Análisis consolidado de 2 puntos de monitoreo</w:t>
        <w:br/>
        <w:t>Rango: 01-06-26 - 30-06-26</w:t>
        <w:br/>
        <w:t>Generado: 01-07-26 15:25</w:t>
      </w:r>
    </w:p>
    <w:p>
      <w:pPr>
        <w:pStyle w:val="Heading1"/>
        <w:keepNext/>
        <w:widowControl/>
        <w:spacing w:after="60"/>
      </w:pPr>
      <w:r>
        <w:rPr>
          <w:b/>
          <w:color w:val="003366"/>
        </w:rPr>
        <w:t>RESUMEN EJECUTIVO AGREGADO</w:t>
      </w:r>
    </w:p>
    <w:p>
      <w:r>
        <w:t>Puntos de monitoreo analizados: 2.</w:t>
        <w:br/>
      </w:r>
      <w:r>
        <w:t>Consumo total agregado: 8.480,7 m³.</w:t>
        <w:br/>
      </w:r>
      <w:r>
        <w:t>Consumo promedio por punto: 4.240,4 m³.</w:t>
        <w:br/>
      </w:r>
      <w:r>
        <w:t>Total de alertas registradas: 3.</w:t>
        <w:br/>
      </w:r>
    </w:p>
    <w:p>
      <w:pPr>
        <w:pStyle w:val="Heading1"/>
        <w:keepNext/>
        <w:widowControl/>
        <w:spacing w:after="60"/>
      </w:pPr>
      <w:r>
        <w:rPr>
          <w:b/>
          <w:color w:val="003366"/>
        </w:rPr>
        <w:t>COMPARACIÓN DE CONSUMO POR PUNTO</w:t>
      </w:r>
    </w:p>
    <w:p>
      <w:pPr>
        <w:jc w:val="both"/>
      </w:pPr>
      <w:r>
        <w:rPr>
          <w:color w:val="000000"/>
        </w:rPr>
        <w:t>Consumo acumulado de cada punto en el periodo (suma de todos los días analizados).</w:t>
      </w:r>
    </w:p>
    <w:p>
      <w:pPr>
        <w:keepNext/>
        <w:widowControl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486400" cy="272939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comparacion_nodo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29392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both"/>
      </w:pPr>
      <w:r>
        <w:rPr>
          <w:color w:val="000000"/>
        </w:rPr>
        <w:t>El club consumió en total 8.480,7 m³ en el periodo. De ese volumen, Matriz Fitness aportó 6.204,8 m³ (73,2 %) y Matriz Piscina 2.275,9 m³ (26,8 %). Matriz Fitness fue el punto de mayor demanda, con 3.928,9 m³ más que Matriz Piscina.</w:t>
      </w:r>
    </w:p>
    <w:p>
      <w:pPr>
        <w:pStyle w:val="Heading1"/>
        <w:keepNext/>
        <w:widowControl/>
        <w:spacing w:after="60"/>
      </w:pPr>
      <w:r>
        <w:rPr>
          <w:b/>
          <w:color w:val="003366"/>
        </w:rPr>
        <w:t>EVOLUCIÓN DEL CONSUMO DIARIO POR PUNTO</w:t>
      </w:r>
    </w:p>
    <w:p>
      <w:pPr>
        <w:jc w:val="both"/>
      </w:pPr>
      <w:r>
        <w:t>Gráficos de consumo total diario (m³) de cada día del periodo analizado, por punto de monitoreo.</w:t>
      </w:r>
    </w:p>
    <w:p/>
    <w:p>
      <w:pPr>
        <w:keepNext/>
        <w:widowControl/>
        <w:spacing w:after="60"/>
      </w:pPr>
      <w:r>
        <w:rPr>
          <w:b/>
          <w:color w:val="003366"/>
        </w:rPr>
        <w:t>MATRIZ FITNESS</w:t>
      </w:r>
    </w:p>
    <w:p>
      <w:pPr>
        <w:keepNext/>
        <w:widowControl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486400" cy="269069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p_diario_000031_0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9069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keepNext/>
        <w:widowControl/>
        <w:spacing w:after="60"/>
      </w:pPr>
      <w:r>
        <w:rPr>
          <w:b/>
          <w:color w:val="003366"/>
        </w:rPr>
        <w:t>MATRIZ PISCINA</w:t>
      </w:r>
    </w:p>
    <w:p>
      <w:pPr>
        <w:keepNext/>
        <w:widowControl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486400" cy="269069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p_diario_000031_02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906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  <w:keepNext/>
        <w:widowControl/>
        <w:spacing w:after="60"/>
      </w:pPr>
      <w:r>
        <w:rPr>
          <w:b/>
          <w:color w:val="003366"/>
        </w:rPr>
        <w:t>DÍA DE MAYOR CONSUMO DIARIO POR PUNTO</w:t>
      </w:r>
    </w:p>
    <w:p>
      <w:pPr>
        <w:jc w:val="both"/>
      </w:pPr>
      <w:r>
        <w:t>Para cada punto se identifica el día con mayor consumo acumulado del periodo y se muestra el perfil horario (m³/h) de ese día.</w:t>
      </w:r>
    </w:p>
    <w:p/>
    <w:p>
      <w:pPr>
        <w:keepNext/>
        <w:widowControl/>
        <w:spacing w:after="60"/>
      </w:pPr>
      <w:r>
        <w:rPr>
          <w:b/>
          <w:color w:val="003366"/>
        </w:rPr>
        <w:t>MATRIZ FITNESS — 25/06/2026</w:t>
      </w:r>
    </w:p>
    <w:p>
      <w:pPr>
        <w:keepNext/>
        <w:widowControl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486400" cy="270253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p_max_dia_000031_01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025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both"/>
      </w:pPr>
      <w:r>
        <w:rPr>
          <w:color w:val="000000"/>
        </w:rPr>
        <w:t>El día de mayor consumo diario en Matriz Fitness fue el 25/06/2026 con 778.0 m³ registrados, un 276 % por sobre el promedio diario del periodo (206.8 m³/día). Conviene revisar en terreno qué actividades o equipos explican el pico horario de ese día y si corresponde a operación programada o a un uso extraordinario de agua.</w:t>
      </w:r>
    </w:p>
    <w:p/>
    <w:p>
      <w:pPr>
        <w:keepNext/>
        <w:widowControl/>
        <w:spacing w:after="60"/>
      </w:pPr>
      <w:r>
        <w:rPr>
          <w:b/>
          <w:color w:val="003366"/>
        </w:rPr>
        <w:t>MATRIZ PISCINA — 30/06/2026</w:t>
      </w:r>
    </w:p>
    <w:p>
      <w:pPr>
        <w:keepNext/>
        <w:widowControl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486400" cy="2702533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p_max_dia_000031_02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025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both"/>
      </w:pPr>
      <w:r>
        <w:rPr>
          <w:color w:val="000000"/>
        </w:rPr>
        <w:t>El día de mayor consumo diario en Matriz Piscina fue el 30/06/2026 con 139.4 m³ registrados, un 78 % por sobre el promedio diario del periodo (78.5 m³/día). Conviene revisar en terreno qué actividades o equipos explican el pico horario de ese día y si corresponde a operación programada o a un uso extraordinario de agua.</w:t>
      </w:r>
    </w:p>
    <w:p>
      <w:pPr>
        <w:pStyle w:val="Heading1"/>
        <w:keepNext/>
        <w:widowControl/>
        <w:spacing w:after="60"/>
      </w:pPr>
      <w:r>
        <w:rPr>
          <w:b/>
          <w:color w:val="003366"/>
        </w:rPr>
        <w:t>RESUMEN POR PUNTO DE MONITOREO</w:t>
      </w:r>
    </w:p>
    <w:p/>
    <w:p>
      <w:pPr>
        <w:keepNext/>
        <w:widowControl/>
        <w:spacing w:after="60"/>
      </w:pPr>
      <w:r>
        <w:rPr>
          <w:b/>
          <w:color w:val="003366"/>
        </w:rPr>
        <w:t>MÉTRICAS POR PUNTO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822"/>
        <w:gridCol w:w="940"/>
        <w:gridCol w:w="1209"/>
        <w:gridCol w:w="1074"/>
        <w:gridCol w:w="1813"/>
        <w:gridCol w:w="1343"/>
      </w:tblGrid>
      <w:tr>
        <w:tc>
          <w:tcPr>
            <w:tcW w:type="dxa" w:w="1440"/>
            <w:shd w:val="clear" w:fill="D9E1F2"/>
            <w:noWrap/>
          </w:tcPr>
          <w:p>
            <w:r>
              <w:t>Ranking</w:t>
            </w:r>
          </w:p>
        </w:tc>
        <w:tc>
          <w:tcPr>
            <w:tcW w:type="dxa" w:w="1440"/>
            <w:shd w:val="clear" w:fill="D9E1F2"/>
            <w:noWrap/>
          </w:tcPr>
          <w:p>
            <w:r>
              <w:t>Dispositivo</w:t>
            </w:r>
          </w:p>
        </w:tc>
        <w:tc>
          <w:tcPr>
            <w:tcW w:type="dxa" w:w="1440"/>
            <w:shd w:val="clear" w:fill="D9E1F2"/>
            <w:noWrap/>
          </w:tcPr>
          <w:p>
            <w:r>
              <w:t>Consumo total (m³)</w:t>
            </w:r>
          </w:p>
        </w:tc>
        <w:tc>
          <w:tcPr>
            <w:tcW w:type="dxa" w:w="1440"/>
            <w:shd w:val="clear" w:fill="D9E1F2"/>
            <w:noWrap/>
          </w:tcPr>
          <w:p>
            <w:r>
              <w:t>Número de alerta</w:t>
            </w:r>
          </w:p>
        </w:tc>
        <w:tc>
          <w:tcPr>
            <w:tcW w:type="dxa" w:w="1440"/>
            <w:shd w:val="clear" w:fill="D9E1F2"/>
            <w:noWrap/>
          </w:tcPr>
          <w:p>
            <w:r>
              <w:t>Consumo nocturno</w:t>
            </w:r>
          </w:p>
        </w:tc>
        <w:tc>
          <w:tcPr>
            <w:tcW w:type="dxa" w:w="1440"/>
            <w:shd w:val="clear" w:fill="D9E1F2"/>
            <w:noWrap/>
          </w:tcPr>
          <w:p>
            <w:r>
              <w:t>Costo nocturno (CLP)</w:t>
            </w:r>
          </w:p>
        </w:tc>
      </w:tr>
      <w:tr>
        <w:tc>
          <w:tcPr>
            <w:tcW w:type="dxa" w:w="1440"/>
            <w:noWrap/>
          </w:tcPr>
          <w:p>
            <w:r>
              <w:t>1</w:t>
            </w:r>
          </w:p>
        </w:tc>
        <w:tc>
          <w:tcPr>
            <w:tcW w:type="dxa" w:w="1440"/>
            <w:noWrap/>
          </w:tcPr>
          <w:p>
            <w:r>
              <w:t>Matriz Fitness</w:t>
            </w:r>
          </w:p>
        </w:tc>
        <w:tc>
          <w:tcPr>
            <w:tcW w:type="dxa" w:w="1440"/>
            <w:noWrap/>
          </w:tcPr>
          <w:p>
            <w:r>
              <w:t>6.204,8</w:t>
            </w:r>
          </w:p>
        </w:tc>
        <w:tc>
          <w:tcPr>
            <w:tcW w:type="dxa" w:w="1440"/>
            <w:noWrap/>
          </w:tcPr>
          <w:p>
            <w:r>
              <w:t>0</w:t>
            </w:r>
          </w:p>
        </w:tc>
        <w:tc>
          <w:tcPr>
            <w:tcW w:type="dxa" w:w="1440"/>
            <w:noWrap/>
          </w:tcPr>
          <w:p>
            <w:pPr>
              <w:jc w:val="left"/>
            </w:pPr>
            <w:r>
              <w:t>2.065,1 m³</w:t>
            </w:r>
          </w:p>
          <w:p>
            <w:pPr>
              <w:jc w:val="left"/>
            </w:pPr>
            <w:r>
              <w:t>(29 días, 96,7%)</w:t>
            </w:r>
          </w:p>
        </w:tc>
        <w:tc>
          <w:tcPr>
            <w:tcW w:type="dxa" w:w="1440"/>
            <w:noWrap/>
          </w:tcPr>
          <w:p>
            <w:r>
              <w:t>$2.581.341</w:t>
            </w:r>
          </w:p>
        </w:tc>
      </w:tr>
      <w:tr>
        <w:tc>
          <w:tcPr>
            <w:tcW w:type="dxa" w:w="1440"/>
            <w:noWrap/>
          </w:tcPr>
          <w:p>
            <w:r>
              <w:t>2</w:t>
            </w:r>
          </w:p>
        </w:tc>
        <w:tc>
          <w:tcPr>
            <w:tcW w:type="dxa" w:w="1440"/>
            <w:noWrap/>
          </w:tcPr>
          <w:p>
            <w:r>
              <w:t>Matriz Piscina</w:t>
            </w:r>
          </w:p>
        </w:tc>
        <w:tc>
          <w:tcPr>
            <w:tcW w:type="dxa" w:w="1440"/>
            <w:noWrap/>
          </w:tcPr>
          <w:p>
            <w:r>
              <w:t>2.275,9</w:t>
            </w:r>
          </w:p>
        </w:tc>
        <w:tc>
          <w:tcPr>
            <w:tcW w:type="dxa" w:w="1440"/>
            <w:noWrap/>
          </w:tcPr>
          <w:p>
            <w:r>
              <w:t>3</w:t>
            </w:r>
          </w:p>
        </w:tc>
        <w:tc>
          <w:tcPr>
            <w:tcW w:type="dxa" w:w="1440"/>
            <w:noWrap/>
          </w:tcPr>
          <w:p>
            <w:pPr>
              <w:jc w:val="left"/>
            </w:pPr>
            <w:r>
              <w:t>524,8 m³</w:t>
            </w:r>
          </w:p>
          <w:p>
            <w:pPr>
              <w:jc w:val="left"/>
            </w:pPr>
            <w:r>
              <w:t>(29 días, 96,7%)</w:t>
            </w:r>
          </w:p>
        </w:tc>
        <w:tc>
          <w:tcPr>
            <w:tcW w:type="dxa" w:w="1440"/>
            <w:noWrap/>
          </w:tcPr>
          <w:p>
            <w:r>
              <w:t>$655.991</w:t>
            </w:r>
          </w:p>
        </w:tc>
      </w:tr>
      <w:tr>
        <w:tc>
          <w:tcPr>
            <w:tcW w:type="dxa" w:w="1440"/>
            <w:noWrap/>
            <w:shd w:val="clear" w:fill="FFE6E6"/>
          </w:tcPr>
          <w:p>
            <w:pPr>
              <w:jc w:val="left"/>
            </w:pPr>
            <w:r>
              <w:rPr>
                <w:b/>
                <w:color w:val="FF0000"/>
              </w:rPr>
            </w:r>
          </w:p>
        </w:tc>
        <w:tc>
          <w:tcPr>
            <w:tcW w:type="dxa" w:w="1440"/>
            <w:noWrap/>
            <w:shd w:val="clear" w:fill="FFE6E6"/>
          </w:tcPr>
          <w:p>
            <w:pPr>
              <w:jc w:val="left"/>
            </w:pPr>
            <w:r>
              <w:rPr>
                <w:b/>
                <w:color w:val="FF0000"/>
              </w:rPr>
              <w:t>TOTAL</w:t>
            </w:r>
          </w:p>
        </w:tc>
        <w:tc>
          <w:tcPr>
            <w:tcW w:type="dxa" w:w="1440"/>
            <w:noWrap/>
            <w:shd w:val="clear" w:fill="FFE6E6"/>
          </w:tcPr>
          <w:p>
            <w:pPr>
              <w:jc w:val="left"/>
            </w:pPr>
            <w:r>
              <w:rPr>
                <w:b/>
                <w:color w:val="FF0000"/>
              </w:rPr>
              <w:t>8.480,7</w:t>
            </w:r>
          </w:p>
        </w:tc>
        <w:tc>
          <w:tcPr>
            <w:tcW w:type="dxa" w:w="1440"/>
            <w:noWrap/>
            <w:shd w:val="clear" w:fill="FFE6E6"/>
          </w:tcPr>
          <w:p>
            <w:pPr>
              <w:jc w:val="left"/>
            </w:pPr>
            <w:r>
              <w:rPr>
                <w:b/>
                <w:color w:val="FF0000"/>
              </w:rPr>
              <w:t>3</w:t>
            </w:r>
          </w:p>
        </w:tc>
        <w:tc>
          <w:tcPr>
            <w:tcW w:type="dxa" w:w="1440"/>
            <w:noWrap/>
            <w:shd w:val="clear" w:fill="FFE6E6"/>
          </w:tcPr>
          <w:p>
            <w:pPr>
              <w:jc w:val="left"/>
            </w:pPr>
            <w:r>
              <w:rPr>
                <w:b/>
                <w:color w:val="FF0000"/>
              </w:rPr>
              <w:t>2.589,9 m³</w:t>
            </w:r>
          </w:p>
        </w:tc>
        <w:tc>
          <w:tcPr>
            <w:tcW w:type="dxa" w:w="1440"/>
            <w:noWrap/>
            <w:shd w:val="clear" w:fill="FFE6E6"/>
          </w:tcPr>
          <w:p>
            <w:pPr>
              <w:jc w:val="left"/>
            </w:pPr>
            <w:r>
              <w:rPr>
                <w:b/>
                <w:color w:val="FF0000"/>
              </w:rPr>
              <w:t>$3.237.332</w:t>
            </w:r>
          </w:p>
        </w:tc>
      </w:tr>
    </w:tbl>
    <w:p>
      <w:pPr>
        <w:pStyle w:val="Heading1"/>
        <w:keepNext/>
        <w:widowControl/>
        <w:spacing w:after="60"/>
      </w:pPr>
      <w:r>
        <w:rPr>
          <w:b/>
          <w:color w:val="003366"/>
        </w:rPr>
        <w:t>ANÁLISIS DE CONSUMOS NOCTURNOS</w:t>
      </w:r>
    </w:p>
    <w:p>
      <w:pPr>
        <w:jc w:val="both"/>
      </w:pPr>
      <w:r>
        <w:rPr>
          <w:b/>
        </w:rPr>
        <w:t xml:space="preserve">Horario nocturno considerado: </w:t>
      </w:r>
      <w:r>
        <w:t>Se define como consumo nocturno el volumen medido entre las 00:00 y las 06:59 (hora Chile), es decir 7 horas por cada día del periodo. El total nocturno es la suma de esas horas en todos los días con datos — no se extrapola ni proyecta a 30 días.</w:t>
      </w:r>
    </w:p>
    <w:p/>
    <w:p>
      <w:pPr>
        <w:keepNext/>
        <w:widowControl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486400" cy="3401197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p_consumo_nocturno_periodo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011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Detalle por punto</w:t>
      </w:r>
    </w:p>
    <w:p>
      <w:pPr>
        <w:jc w:val="both"/>
      </w:pPr>
      <w:r>
        <w:t>• Matriz Fitness: 2.065,1 m³ nocturnos (29 días con consumo 00:00–06:59) — $2.581.341</w:t>
      </w:r>
    </w:p>
    <w:p>
      <w:pPr>
        <w:jc w:val="both"/>
      </w:pPr>
      <w:r>
        <w:t>• Matriz Piscina: 524,8 m³ nocturnos (29 días con consumo 00:00–06:59) — $655.991</w:t>
      </w:r>
    </w:p>
    <w:p>
      <w:r>
        <w:rPr>
          <w:b/>
        </w:rPr>
        <w:t xml:space="preserve">Total club (periodo): </w:t>
      </w:r>
      <w:r>
        <w:t>2.589,9 m³ — $3.237.332</w:t>
      </w:r>
    </w:p>
    <w:p/>
    <w:p>
      <w:pPr>
        <w:keepNext/>
        <w:widowControl/>
        <w:spacing w:after="60"/>
      </w:pPr>
      <w:r>
        <w:rPr>
          <w:b/>
          <w:color w:val="003366"/>
        </w:rPr>
        <w:t>CONCLUSIÓN — CONSUMO NOCTURNO</w:t>
      </w:r>
    </w:p>
    <w:p>
      <w:pPr>
        <w:jc w:val="both"/>
      </w:pPr>
      <w:r>
        <w:rPr>
          <w:color w:val="000000"/>
        </w:rPr>
        <w:t>Durante los 30 días del periodo, el club registró un total de 2.589,9 m³ en horario nocturno (Matriz Fitness (2.065,1 m³) y Matriz Piscina (524,8 m³)), equivalente a $3.237.332 al precio de referencia del servicio. Ese volumen corresponde a agua consumida en madrugada cuando la operación debería ser mínima; un sistema de monitoreo y regulación WES permite detectar y reducir esos caudales, mejorando el control del recurso y el costo asociado.</w:t>
      </w:r>
    </w:p>
    <w:p>
      <w:pPr>
        <w:pStyle w:val="Heading1"/>
        <w:keepNext/>
        <w:widowControl/>
        <w:spacing w:after="60"/>
      </w:pPr>
      <w:r>
        <w:rPr>
          <w:b/>
          <w:color w:val="003366"/>
        </w:rPr>
        <w:t>CONCLUSIONES</w:t>
      </w:r>
    </w:p>
    <w:p>
      <w:pPr>
        <w:keepNext/>
        <w:widowControl/>
        <w:jc w:val="both"/>
      </w:pPr>
      <w:r>
        <w:rPr>
          <w:color w:val="000000"/>
        </w:rPr>
        <w:t>Este reporte sintetiza los principales hallazgos de consumo y fugas. Se recomienda revisar los días con mayor consumo y atender las alertas registradas.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 w:before="0"/>
      <w:jc w:val="right"/>
    </w:pPr>
    <w:r>
      <w:drawing>
        <wp:inline xmlns:a="http://schemas.openxmlformats.org/drawingml/2006/main" xmlns:pic="http://schemas.openxmlformats.org/drawingml/2006/picture">
          <wp:extent cx="1371600" cy="304081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 wes.bmp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371600" cy="304081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bm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