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01-05-26 - 31-05-26</w:t>
        <w:br/>
        <w:t>Generado: 02-06-26 14:36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8.534,8 m³.</w:t>
        <w:br/>
      </w:r>
      <w:r>
        <w:t>Consumo promedio por punto: 4.267,4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Matriz Piscina, con un total de 4.888,2 m³ durante el periodo analizado. Este valor se encuentra cercano al promedio de 4.267,4 m³ por punto. Por otro lado, el punto con menor consumo es Matriz Fitness, con un total de 3.646,6 m³. Este valor también se encuentra cercano al promedio. Los puntos muestran consumos relativamente homogéneos, con una diferencia limitada entre el máximo y el mínimo.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911"/>
        <w:gridCol w:w="1172"/>
        <w:gridCol w:w="1042"/>
        <w:gridCol w:w="1693"/>
        <w:gridCol w:w="1562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Matriz Piscina</w:t>
            </w:r>
          </w:p>
        </w:tc>
        <w:tc>
          <w:tcPr>
            <w:tcW w:type="dxa" w:w="1440"/>
            <w:noWrap/>
          </w:tcPr>
          <w:p>
            <w:r>
              <w:t>4.888,2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1.112,2 m³</w:t>
            </w:r>
          </w:p>
          <w:p>
            <w:pPr>
              <w:jc w:val="left"/>
            </w:pPr>
            <w:r>
              <w:t>(31 días, 100%)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3.813,2 m³</w:t>
            </w:r>
          </w:p>
          <w:p>
            <w:pPr>
              <w:jc w:val="left"/>
            </w:pPr>
            <w:r>
              <w:t>(78%)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Matriz Fitness</w:t>
            </w:r>
          </w:p>
        </w:tc>
        <w:tc>
          <w:tcPr>
            <w:tcW w:type="dxa" w:w="1440"/>
            <w:noWrap/>
          </w:tcPr>
          <w:p>
            <w:r>
              <w:t>3.646,6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914,6 m³</w:t>
            </w:r>
          </w:p>
          <w:p>
            <w:pPr>
              <w:jc w:val="left"/>
            </w:pPr>
            <w:r>
              <w:t>(30 días, 96,8%)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3.135,9 m³</w:t>
            </w:r>
          </w:p>
          <w:p>
            <w:pPr>
              <w:jc w:val="left"/>
            </w:pPr>
            <w:r>
              <w:t>(86%)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8.534,8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2.026,8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6.949,1 m³</w:t>
            </w:r>
          </w:p>
        </w:tc>
      </w:tr>
    </w:tbl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104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nocturno_no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4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PERFILES HORARIOS Y PROYECCIÓN (SERIE API — ESTILO APP WES)</w:t>
      </w:r>
    </w:p>
    <w:p>
      <w:pPr>
        <w:jc w:val="both"/>
      </w:pPr>
      <w:r>
        <w:t>Los siguientes gráficos replican el perfil horario de la app WES (sin captura de pantalla). La proyección mensual usa consumo en madrugada (00:00–06:59) extrapolado a 24 h × 30 días, útil para estimar ahorro con equipo de control cuando no hay alertas MyAlert recientes.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 (000031-01)</w:t>
      </w:r>
    </w:p>
    <w:p>
      <w:r>
        <w:rPr>
          <w:b/>
        </w:rPr>
        <w:t xml:space="preserve">Consumo nocturno en el periodo: </w:t>
      </w:r>
      <w:r>
        <w:t xml:space="preserve">914,6 m³. </w:t>
      </w:r>
      <w:r>
        <w:rPr>
          <w:b/>
        </w:rPr>
        <w:t xml:space="preserve">Proyección a 30 días (24 h/día): </w:t>
      </w:r>
      <w:r>
        <w:t>3.034,7 m³ ($3.793.432 referencial).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69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rario_000031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69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 (000031-02)</w:t>
      </w:r>
    </w:p>
    <w:p>
      <w:r>
        <w:rPr>
          <w:b/>
        </w:rPr>
        <w:t xml:space="preserve">Consumo nocturno en el periodo: </w:t>
      </w:r>
      <w:r>
        <w:t xml:space="preserve">1.112,2 m³. </w:t>
      </w:r>
      <w:r>
        <w:rPr>
          <w:b/>
        </w:rPr>
        <w:t xml:space="preserve">Proyección a 30 días (24 h/día): </w:t>
      </w:r>
      <w:r>
        <w:t>3.690,2 m³ ($4.612.712 referencial).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241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horario_000031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41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COMPARACIÓN MENSUAL: CONSUMO NOCTURNO VS CONSUMO EFECTIVO:</w:t>
      </w:r>
    </w:p>
    <w:p>
      <w:pPr>
        <w:jc w:val="both"/>
      </w:pPr>
      <w:r>
        <w:rPr>
          <w:color w:val="000000"/>
        </w:rPr>
        <w:t>La comparación mensual proyecta los valores a 30 días. La proyección de consumo nocturno proviene de la serie horaria API (madrugada 00:00–06:59), no de alertas MyAlert, cuando estas no están disponibles o son puntuales. El consumo efectivo mensual es el total del periodo menos esa proyección, escalado a 30 días. Esta comparación permite visualizar el impacto económico de los consumos nocturnos en un periodo mensual, valorizando el consumo nocturno en pesos chilenos según el precio por metro cúbico del punto.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228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mensual_agreg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8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Matriz Piscina y Matriz Fitness.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