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Corporación Puente Alto</w:t>
      </w:r>
    </w:p>
    <w:p>
      <w:pPr>
        <w:jc w:val="center"/>
      </w:pPr>
      <w:r>
        <w:t>MONITOREO WES</w:t>
        <w:br/>
        <w:t>Análisis consolidado de 11 puntos de monitoreo</w:t>
        <w:br/>
        <w:t>Rango: 01-02-26 - 28-02-26</w:t>
        <w:br/>
        <w:t>Generado: 05-03-26 19:58</w:t>
      </w:r>
    </w:p>
    <w:p>
      <w:pPr>
        <w:pStyle w:val="Heading1"/>
        <w:keepNext/>
        <w:widowControl/>
        <w:spacing w:after="60"/>
      </w:pPr>
      <w:r>
        <w:rPr>
          <w:b/>
          <w:color w:val="003366"/>
        </w:rPr>
        <w:t>RESUMEN EJECUTIVO AGREGADO</w:t>
      </w:r>
    </w:p>
    <w:p>
      <w:r>
        <w:t>Puntos de monitoreo analizados: 11.</w:t>
        <w:br/>
      </w:r>
      <w:r>
        <w:t>Consumo total agregado: 6.250 m³.</w:t>
        <w:br/>
      </w:r>
      <w:r>
        <w:t>Consumo promedio por punto: 568,2 m³.</w:t>
        <w:br/>
      </w:r>
      <w:r>
        <w:t>Total de alertas registradas: 165.</w:t>
        <w:br/>
      </w:r>
      <w:r>
        <w:t>Promedio de alerta agregado: 0,3 m³/h.</w:t>
        <w:br/>
      </w:r>
      <w:r>
        <w:t>Proyección diaria de consumo nocturno agregada: 6,3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Esc. Nonato Coo, con un total de 1.930,3 m³ durante el periodo analizado. Este valor representa un 239,7% por encima del promedio (568,2 m³ por punto), indicando una demanda significativamente superior a la media. Por otro lado, el punto con menor consumo es Esc. Juan Mackenna, con un total de 135,9 m³. Este valor representa un 76,1% por debajo del promedio, mostrando una demanda significativamente inferior. La diferencia entre el punto de mayor y menor consumo es considerable, siendo el consumo máximo aproximadamente 14,2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6"/>
        <w:gridCol w:w="1432"/>
        <w:gridCol w:w="1074"/>
        <w:gridCol w:w="955"/>
        <w:gridCol w:w="1492"/>
        <w:gridCol w:w="143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Esc. Nonato Coo</w:t>
            </w:r>
          </w:p>
        </w:tc>
        <w:tc>
          <w:tcPr>
            <w:tcW w:type="dxa" w:w="1440"/>
            <w:noWrap/>
          </w:tcPr>
          <w:p>
            <w:r>
              <w:t>1.930,3</w:t>
            </w:r>
          </w:p>
        </w:tc>
        <w:tc>
          <w:tcPr>
            <w:tcW w:type="dxa" w:w="1440"/>
            <w:noWrap/>
          </w:tcPr>
          <w:p>
            <w:r>
              <w:t>5</w:t>
            </w:r>
          </w:p>
        </w:tc>
        <w:tc>
          <w:tcPr>
            <w:tcW w:type="dxa" w:w="1440"/>
            <w:noWrap/>
          </w:tcPr>
          <w:p>
            <w:pPr>
              <w:jc w:val="left"/>
            </w:pPr>
            <w:r>
              <w:t>775 m³</w:t>
            </w:r>
          </w:p>
          <w:p>
            <w:pPr>
              <w:jc w:val="left"/>
            </w:pPr>
            <w:r>
              <w:t>(11 días, 39,3%)</w:t>
            </w:r>
          </w:p>
        </w:tc>
        <w:tc>
          <w:tcPr>
            <w:tcW w:type="dxa" w:w="1440"/>
            <w:noWrap/>
          </w:tcPr>
          <w:p>
            <w:pPr>
              <w:jc w:val="left"/>
            </w:pPr>
            <w:r>
              <w:t>0,0 m³</w:t>
            </w:r>
          </w:p>
          <w:p>
            <w:pPr>
              <w:jc w:val="left"/>
            </w:pPr>
            <w:r>
              <w:t>(0,0%)</w:t>
            </w:r>
          </w:p>
        </w:tc>
      </w:tr>
      <w:tr>
        <w:tc>
          <w:tcPr>
            <w:tcW w:type="dxa" w:w="1440"/>
            <w:noWrap/>
          </w:tcPr>
          <w:p>
            <w:r>
              <w:t>2</w:t>
            </w:r>
          </w:p>
        </w:tc>
        <w:tc>
          <w:tcPr>
            <w:tcW w:type="dxa" w:w="1440"/>
            <w:noWrap/>
          </w:tcPr>
          <w:p>
            <w:r>
              <w:t>Esc. Villa Independencia</w:t>
            </w:r>
          </w:p>
        </w:tc>
        <w:tc>
          <w:tcPr>
            <w:tcW w:type="dxa" w:w="1440"/>
            <w:noWrap/>
          </w:tcPr>
          <w:p>
            <w:r>
              <w:t>1.200,7</w:t>
            </w:r>
          </w:p>
        </w:tc>
        <w:tc>
          <w:tcPr>
            <w:tcW w:type="dxa" w:w="1440"/>
            <w:noWrap/>
          </w:tcPr>
          <w:p>
            <w:r>
              <w:t>0</w:t>
            </w:r>
          </w:p>
        </w:tc>
        <w:tc>
          <w:tcPr>
            <w:tcW w:type="dxa" w:w="1440"/>
            <w:noWrap/>
          </w:tcPr>
          <w:p>
            <w:pPr>
              <w:jc w:val="left"/>
            </w:pPr>
            <w:r>
              <w:t>432,7 m³</w:t>
            </w:r>
          </w:p>
          <w:p>
            <w:pPr>
              <w:jc w:val="left"/>
            </w:pPr>
            <w:r>
              <w:t>(28 días, 100%)</w:t>
            </w:r>
          </w:p>
        </w:tc>
        <w:tc>
          <w:tcPr>
            <w:tcW w:type="dxa" w:w="1440"/>
            <w:noWrap/>
          </w:tcPr>
          <w:p>
            <w:pPr>
              <w:jc w:val="left"/>
            </w:pPr>
            <w:r>
              <w:t>1.730,8 m³</w:t>
            </w:r>
          </w:p>
          <w:p>
            <w:pPr>
              <w:jc w:val="left"/>
            </w:pPr>
            <w:r>
              <w:t>(144,2%)</w:t>
            </w:r>
          </w:p>
        </w:tc>
      </w:tr>
      <w:tr>
        <w:tc>
          <w:tcPr>
            <w:tcW w:type="dxa" w:w="1440"/>
            <w:noWrap/>
          </w:tcPr>
          <w:p>
            <w:r>
              <w:t>3</w:t>
            </w:r>
          </w:p>
        </w:tc>
        <w:tc>
          <w:tcPr>
            <w:tcW w:type="dxa" w:w="1440"/>
            <w:noWrap/>
          </w:tcPr>
          <w:p>
            <w:r>
              <w:t>Esc. Padre Hurtado</w:t>
            </w:r>
          </w:p>
        </w:tc>
        <w:tc>
          <w:tcPr>
            <w:tcW w:type="dxa" w:w="1440"/>
            <w:noWrap/>
          </w:tcPr>
          <w:p>
            <w:r>
              <w:t>709,7</w:t>
            </w:r>
          </w:p>
        </w:tc>
        <w:tc>
          <w:tcPr>
            <w:tcW w:type="dxa" w:w="1440"/>
            <w:noWrap/>
          </w:tcPr>
          <w:p>
            <w:r>
              <w:t>24</w:t>
            </w:r>
          </w:p>
        </w:tc>
        <w:tc>
          <w:tcPr>
            <w:tcW w:type="dxa" w:w="1440"/>
            <w:noWrap/>
          </w:tcPr>
          <w:p>
            <w:pPr>
              <w:jc w:val="left"/>
            </w:pPr>
            <w:r>
              <w:t>241,5 m³</w:t>
            </w:r>
          </w:p>
          <w:p>
            <w:pPr>
              <w:jc w:val="left"/>
            </w:pPr>
            <w:r>
              <w:t>(26 días, 92,9%)</w:t>
            </w:r>
          </w:p>
        </w:tc>
        <w:tc>
          <w:tcPr>
            <w:tcW w:type="dxa" w:w="1440"/>
            <w:noWrap/>
          </w:tcPr>
          <w:p>
            <w:pPr>
              <w:jc w:val="left"/>
            </w:pPr>
            <w:r>
              <w:t>0,0 m³</w:t>
            </w:r>
          </w:p>
          <w:p>
            <w:pPr>
              <w:jc w:val="left"/>
            </w:pPr>
            <w:r>
              <w:t>(0,0%)</w:t>
            </w:r>
          </w:p>
        </w:tc>
      </w:tr>
      <w:tr>
        <w:tc>
          <w:tcPr>
            <w:tcW w:type="dxa" w:w="1440"/>
            <w:noWrap/>
          </w:tcPr>
          <w:p>
            <w:r>
              <w:t>4</w:t>
            </w:r>
          </w:p>
        </w:tc>
        <w:tc>
          <w:tcPr>
            <w:tcW w:type="dxa" w:w="1440"/>
            <w:noWrap/>
          </w:tcPr>
          <w:p>
            <w:r>
              <w:t>Liceo Chiloé</w:t>
            </w:r>
          </w:p>
        </w:tc>
        <w:tc>
          <w:tcPr>
            <w:tcW w:type="dxa" w:w="1440"/>
            <w:noWrap/>
          </w:tcPr>
          <w:p>
            <w:r>
              <w:t>560,2</w:t>
            </w:r>
          </w:p>
        </w:tc>
        <w:tc>
          <w:tcPr>
            <w:tcW w:type="dxa" w:w="1440"/>
            <w:noWrap/>
          </w:tcPr>
          <w:p>
            <w:r>
              <w:t>2</w:t>
            </w:r>
          </w:p>
        </w:tc>
        <w:tc>
          <w:tcPr>
            <w:tcW w:type="dxa" w:w="1440"/>
            <w:noWrap/>
          </w:tcPr>
          <w:p>
            <w:pPr>
              <w:jc w:val="left"/>
            </w:pPr>
            <w:r>
              <w:t>154,8 m³</w:t>
            </w:r>
          </w:p>
          <w:p>
            <w:pPr>
              <w:jc w:val="left"/>
            </w:pPr>
            <w:r>
              <w:t>(18 días, 64,3%)</w:t>
            </w:r>
          </w:p>
        </w:tc>
        <w:tc>
          <w:tcPr>
            <w:tcW w:type="dxa" w:w="1440"/>
            <w:noWrap/>
          </w:tcPr>
          <w:p>
            <w:pPr>
              <w:jc w:val="left"/>
            </w:pPr>
            <w:r>
              <w:t>0,0 m³</w:t>
            </w:r>
          </w:p>
          <w:p>
            <w:pPr>
              <w:jc w:val="left"/>
            </w:pPr>
            <w:r>
              <w:t>(0,0%)</w:t>
            </w:r>
          </w:p>
        </w:tc>
      </w:tr>
      <w:tr>
        <w:tc>
          <w:tcPr>
            <w:tcW w:type="dxa" w:w="1440"/>
            <w:noWrap/>
          </w:tcPr>
          <w:p>
            <w:r>
              <w:t>5</w:t>
            </w:r>
          </w:p>
        </w:tc>
        <w:tc>
          <w:tcPr>
            <w:tcW w:type="dxa" w:w="1440"/>
            <w:noWrap/>
          </w:tcPr>
          <w:p>
            <w:r>
              <w:t>Esc. Los Andes</w:t>
            </w:r>
          </w:p>
        </w:tc>
        <w:tc>
          <w:tcPr>
            <w:tcW w:type="dxa" w:w="1440"/>
            <w:noWrap/>
          </w:tcPr>
          <w:p>
            <w:r>
              <w:t>468,6</w:t>
            </w:r>
          </w:p>
        </w:tc>
        <w:tc>
          <w:tcPr>
            <w:tcW w:type="dxa" w:w="1440"/>
            <w:noWrap/>
          </w:tcPr>
          <w:p>
            <w:r>
              <w:t>0</w:t>
            </w:r>
          </w:p>
        </w:tc>
        <w:tc>
          <w:tcPr>
            <w:tcW w:type="dxa" w:w="1440"/>
            <w:noWrap/>
          </w:tcPr>
          <w:p>
            <w:pPr>
              <w:jc w:val="left"/>
            </w:pPr>
            <w:r>
              <w:t>119,7 m³</w:t>
            </w:r>
          </w:p>
          <w:p>
            <w:pPr>
              <w:jc w:val="left"/>
            </w:pPr>
            <w:r>
              <w:t>(10 días, 35,7%)</w:t>
            </w:r>
          </w:p>
        </w:tc>
        <w:tc>
          <w:tcPr>
            <w:tcW w:type="dxa" w:w="1440"/>
            <w:noWrap/>
          </w:tcPr>
          <w:p>
            <w:pPr>
              <w:jc w:val="left"/>
            </w:pPr>
            <w:r>
              <w:t>0,0 m³</w:t>
            </w:r>
          </w:p>
          <w:p>
            <w:pPr>
              <w:jc w:val="left"/>
            </w:pPr>
            <w:r>
              <w:t>(0,0%)</w:t>
            </w:r>
          </w:p>
        </w:tc>
      </w:tr>
      <w:tr>
        <w:tc>
          <w:tcPr>
            <w:tcW w:type="dxa" w:w="1440"/>
            <w:noWrap/>
          </w:tcPr>
          <w:p>
            <w:r>
              <w:t>6</w:t>
            </w:r>
          </w:p>
        </w:tc>
        <w:tc>
          <w:tcPr>
            <w:tcW w:type="dxa" w:w="1440"/>
            <w:noWrap/>
          </w:tcPr>
          <w:p>
            <w:r>
              <w:t>Esc. Luis Matte Larraín</w:t>
            </w:r>
          </w:p>
        </w:tc>
        <w:tc>
          <w:tcPr>
            <w:tcW w:type="dxa" w:w="1440"/>
            <w:noWrap/>
          </w:tcPr>
          <w:p>
            <w:r>
              <w:t>334</w:t>
            </w:r>
          </w:p>
        </w:tc>
        <w:tc>
          <w:tcPr>
            <w:tcW w:type="dxa" w:w="1440"/>
            <w:noWrap/>
          </w:tcPr>
          <w:p>
            <w:r>
              <w:t>5</w:t>
            </w:r>
          </w:p>
        </w:tc>
        <w:tc>
          <w:tcPr>
            <w:tcW w:type="dxa" w:w="1440"/>
            <w:noWrap/>
          </w:tcPr>
          <w:p>
            <w:pPr>
              <w:jc w:val="left"/>
            </w:pPr>
            <w:r>
              <w:t>123,5 m³</w:t>
            </w:r>
          </w:p>
          <w:p>
            <w:pPr>
              <w:jc w:val="left"/>
            </w:pPr>
            <w:r>
              <w:t>(27 días, 96,4%)</w:t>
            </w:r>
          </w:p>
        </w:tc>
        <w:tc>
          <w:tcPr>
            <w:tcW w:type="dxa" w:w="1440"/>
            <w:noWrap/>
          </w:tcPr>
          <w:p>
            <w:pPr>
              <w:jc w:val="left"/>
            </w:pPr>
            <w:r>
              <w:t>494 m³</w:t>
            </w:r>
          </w:p>
          <w:p>
            <w:pPr>
              <w:jc w:val="left"/>
            </w:pPr>
            <w:r>
              <w:t>(147,9%)</w:t>
            </w:r>
          </w:p>
        </w:tc>
      </w:tr>
      <w:tr>
        <w:tc>
          <w:tcPr>
            <w:tcW w:type="dxa" w:w="1440"/>
            <w:noWrap/>
          </w:tcPr>
          <w:p>
            <w:r>
              <w:t>7</w:t>
            </w:r>
          </w:p>
        </w:tc>
        <w:tc>
          <w:tcPr>
            <w:tcW w:type="dxa" w:w="1440"/>
            <w:noWrap/>
          </w:tcPr>
          <w:p>
            <w:r>
              <w:t>Consolidada</w:t>
            </w:r>
          </w:p>
        </w:tc>
        <w:tc>
          <w:tcPr>
            <w:tcW w:type="dxa" w:w="1440"/>
            <w:noWrap/>
          </w:tcPr>
          <w:p>
            <w:r>
              <w:t>285,7</w:t>
            </w:r>
          </w:p>
        </w:tc>
        <w:tc>
          <w:tcPr>
            <w:tcW w:type="dxa" w:w="1440"/>
            <w:noWrap/>
          </w:tcPr>
          <w:p>
            <w:r>
              <w:t>29</w:t>
            </w:r>
          </w:p>
        </w:tc>
        <w:tc>
          <w:tcPr>
            <w:tcW w:type="dxa" w:w="1440"/>
            <w:noWrap/>
          </w:tcPr>
          <w:p>
            <w:pPr>
              <w:jc w:val="left"/>
            </w:pPr>
            <w:r>
              <w:t>39,5 m³</w:t>
            </w:r>
          </w:p>
          <w:p>
            <w:pPr>
              <w:jc w:val="left"/>
            </w:pPr>
            <w:r>
              <w:t>(28 días, 100%)</w:t>
            </w:r>
          </w:p>
        </w:tc>
        <w:tc>
          <w:tcPr>
            <w:tcW w:type="dxa" w:w="1440"/>
            <w:noWrap/>
          </w:tcPr>
          <w:p>
            <w:pPr>
              <w:jc w:val="left"/>
            </w:pPr>
            <w:r>
              <w:t>158 m³</w:t>
            </w:r>
          </w:p>
          <w:p>
            <w:pPr>
              <w:jc w:val="left"/>
            </w:pPr>
            <w:r>
              <w:t>(55,3%)</w:t>
            </w:r>
          </w:p>
        </w:tc>
      </w:tr>
      <w:tr>
        <w:tc>
          <w:tcPr>
            <w:tcW w:type="dxa" w:w="1440"/>
            <w:noWrap/>
          </w:tcPr>
          <w:p>
            <w:r>
              <w:t>8</w:t>
            </w:r>
          </w:p>
        </w:tc>
        <w:tc>
          <w:tcPr>
            <w:tcW w:type="dxa" w:w="1440"/>
            <w:noWrap/>
          </w:tcPr>
          <w:p>
            <w:r>
              <w:t>Escuela Andes del SUR</w:t>
            </w:r>
          </w:p>
        </w:tc>
        <w:tc>
          <w:tcPr>
            <w:tcW w:type="dxa" w:w="1440"/>
            <w:noWrap/>
          </w:tcPr>
          <w:p>
            <w:r>
              <w:t>271,1</w:t>
            </w:r>
          </w:p>
        </w:tc>
        <w:tc>
          <w:tcPr>
            <w:tcW w:type="dxa" w:w="1440"/>
            <w:noWrap/>
          </w:tcPr>
          <w:p>
            <w:r>
              <w:t>11</w:t>
            </w:r>
          </w:p>
        </w:tc>
        <w:tc>
          <w:tcPr>
            <w:tcW w:type="dxa" w:w="1440"/>
            <w:noWrap/>
          </w:tcPr>
          <w:p>
            <w:pPr>
              <w:jc w:val="left"/>
            </w:pPr>
            <w:r>
              <w:t>69,2 m³</w:t>
            </w:r>
          </w:p>
          <w:p>
            <w:pPr>
              <w:jc w:val="left"/>
            </w:pPr>
            <w:r>
              <w:t>(23 días, 82,1%)</w:t>
            </w:r>
          </w:p>
        </w:tc>
        <w:tc>
          <w:tcPr>
            <w:tcW w:type="dxa" w:w="1440"/>
            <w:noWrap/>
          </w:tcPr>
          <w:p>
            <w:pPr>
              <w:jc w:val="left"/>
            </w:pPr>
            <w:r>
              <w:t>0,0 m³</w:t>
            </w:r>
          </w:p>
          <w:p>
            <w:pPr>
              <w:jc w:val="left"/>
            </w:pPr>
            <w:r>
              <w:t>(0,0%)</w:t>
            </w:r>
          </w:p>
        </w:tc>
      </w:tr>
      <w:tr>
        <w:tc>
          <w:tcPr>
            <w:tcW w:type="dxa" w:w="1440"/>
            <w:noWrap/>
          </w:tcPr>
          <w:p>
            <w:r>
              <w:t>9</w:t>
            </w:r>
          </w:p>
        </w:tc>
        <w:tc>
          <w:tcPr>
            <w:tcW w:type="dxa" w:w="1440"/>
            <w:noWrap/>
          </w:tcPr>
          <w:p>
            <w:r>
              <w:t>Colegio Maipo</w:t>
            </w:r>
          </w:p>
        </w:tc>
        <w:tc>
          <w:tcPr>
            <w:tcW w:type="dxa" w:w="1440"/>
            <w:noWrap/>
          </w:tcPr>
          <w:p>
            <w:r>
              <w:t>206,3</w:t>
            </w:r>
          </w:p>
        </w:tc>
        <w:tc>
          <w:tcPr>
            <w:tcW w:type="dxa" w:w="1440"/>
            <w:noWrap/>
          </w:tcPr>
          <w:p>
            <w:r>
              <w:t>33</w:t>
            </w:r>
          </w:p>
        </w:tc>
        <w:tc>
          <w:tcPr>
            <w:tcW w:type="dxa" w:w="1440"/>
            <w:noWrap/>
          </w:tcPr>
          <w:p>
            <w:pPr>
              <w:jc w:val="left"/>
            </w:pPr>
            <w:r>
              <w:t>35,1 m³</w:t>
            </w:r>
          </w:p>
          <w:p>
            <w:pPr>
              <w:jc w:val="left"/>
            </w:pPr>
            <w:r>
              <w:t>(28 días, 100%)</w:t>
            </w:r>
          </w:p>
        </w:tc>
        <w:tc>
          <w:tcPr>
            <w:tcW w:type="dxa" w:w="1440"/>
            <w:noWrap/>
          </w:tcPr>
          <w:p>
            <w:pPr>
              <w:jc w:val="left"/>
            </w:pPr>
            <w:r>
              <w:t>140,6 m³</w:t>
            </w:r>
          </w:p>
          <w:p>
            <w:pPr>
              <w:jc w:val="left"/>
            </w:pPr>
            <w:r>
              <w:t>(68,1%)</w:t>
            </w:r>
          </w:p>
        </w:tc>
      </w:tr>
      <w:tr>
        <w:tc>
          <w:tcPr>
            <w:tcW w:type="dxa" w:w="1440"/>
            <w:noWrap/>
          </w:tcPr>
          <w:p>
            <w:r>
              <w:t>10</w:t>
            </w:r>
          </w:p>
        </w:tc>
        <w:tc>
          <w:tcPr>
            <w:tcW w:type="dxa" w:w="1440"/>
            <w:noWrap/>
          </w:tcPr>
          <w:p>
            <w:r>
              <w:t>Esc. Gabriela</w:t>
            </w:r>
          </w:p>
        </w:tc>
        <w:tc>
          <w:tcPr>
            <w:tcW w:type="dxa" w:w="1440"/>
            <w:noWrap/>
          </w:tcPr>
          <w:p>
            <w:r>
              <w:t>147,4</w:t>
            </w:r>
          </w:p>
        </w:tc>
        <w:tc>
          <w:tcPr>
            <w:tcW w:type="dxa" w:w="1440"/>
            <w:noWrap/>
          </w:tcPr>
          <w:p>
            <w:r>
              <w:t>24</w:t>
            </w:r>
          </w:p>
        </w:tc>
        <w:tc>
          <w:tcPr>
            <w:tcW w:type="dxa" w:w="1440"/>
            <w:noWrap/>
          </w:tcPr>
          <w:p>
            <w:pPr>
              <w:jc w:val="left"/>
            </w:pPr>
            <w:r>
              <w:t>51,4 m³</w:t>
            </w:r>
          </w:p>
          <w:p>
            <w:pPr>
              <w:jc w:val="left"/>
            </w:pPr>
            <w:r>
              <w:t>(23 días, 82,1%)</w:t>
            </w:r>
          </w:p>
        </w:tc>
        <w:tc>
          <w:tcPr>
            <w:tcW w:type="dxa" w:w="1440"/>
            <w:noWrap/>
          </w:tcPr>
          <w:p>
            <w:pPr>
              <w:jc w:val="left"/>
            </w:pPr>
            <w:r>
              <w:t>0,0 m³</w:t>
            </w:r>
          </w:p>
          <w:p>
            <w:pPr>
              <w:jc w:val="left"/>
            </w:pPr>
            <w:r>
              <w:t>(0,0%)</w:t>
            </w:r>
          </w:p>
        </w:tc>
      </w:tr>
      <w:tr>
        <w:tc>
          <w:tcPr>
            <w:tcW w:type="dxa" w:w="1440"/>
            <w:noWrap/>
          </w:tcPr>
          <w:p>
            <w:r>
              <w:t>11</w:t>
            </w:r>
          </w:p>
        </w:tc>
        <w:tc>
          <w:tcPr>
            <w:tcW w:type="dxa" w:w="1440"/>
            <w:noWrap/>
          </w:tcPr>
          <w:p>
            <w:r>
              <w:t>Esc. Juan Mackenna</w:t>
            </w:r>
          </w:p>
        </w:tc>
        <w:tc>
          <w:tcPr>
            <w:tcW w:type="dxa" w:w="1440"/>
            <w:noWrap/>
          </w:tcPr>
          <w:p>
            <w:r>
              <w:t>135,9</w:t>
            </w:r>
          </w:p>
        </w:tc>
        <w:tc>
          <w:tcPr>
            <w:tcW w:type="dxa" w:w="1440"/>
            <w:noWrap/>
          </w:tcPr>
          <w:p>
            <w:r>
              <w:t>32</w:t>
            </w:r>
          </w:p>
        </w:tc>
        <w:tc>
          <w:tcPr>
            <w:tcW w:type="dxa" w:w="1440"/>
            <w:noWrap/>
          </w:tcPr>
          <w:p>
            <w:pPr>
              <w:jc w:val="left"/>
            </w:pPr>
            <w:r>
              <w:t>27,2 m³</w:t>
            </w:r>
          </w:p>
          <w:p>
            <w:pPr>
              <w:jc w:val="left"/>
            </w:pPr>
            <w:r>
              <w:t>(28 días, 100%)</w:t>
            </w:r>
          </w:p>
        </w:tc>
        <w:tc>
          <w:tcPr>
            <w:tcW w:type="dxa" w:w="1440"/>
            <w:noWrap/>
          </w:tcPr>
          <w:p>
            <w:pPr>
              <w:jc w:val="left"/>
            </w:pPr>
            <w:r>
              <w:t>108,7 m³</w:t>
            </w:r>
          </w:p>
          <w:p>
            <w:pPr>
              <w:jc w:val="left"/>
            </w:pPr>
            <w:r>
              <w:t>(80%)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6.250</w:t>
            </w:r>
          </w:p>
        </w:tc>
        <w:tc>
          <w:tcPr>
            <w:tcW w:type="dxa" w:w="1440"/>
            <w:noWrap/>
            <w:shd w:val="clear" w:fill="FFE6E6"/>
          </w:tcPr>
          <w:p>
            <w:pPr>
              <w:jc w:val="left"/>
            </w:pPr>
            <w:r>
              <w:rPr>
                <w:b/>
                <w:color w:val="FF0000"/>
              </w:rPr>
              <w:t>165</w:t>
            </w:r>
          </w:p>
        </w:tc>
        <w:tc>
          <w:tcPr>
            <w:tcW w:type="dxa" w:w="1440"/>
            <w:noWrap/>
            <w:shd w:val="clear" w:fill="FFE6E6"/>
          </w:tcPr>
          <w:p>
            <w:pPr>
              <w:jc w:val="left"/>
            </w:pPr>
            <w:r>
              <w:rPr>
                <w:b/>
                <w:color w:val="FF0000"/>
              </w:rPr>
              <w:t>2.069,6 m³</w:t>
            </w:r>
          </w:p>
        </w:tc>
        <w:tc>
          <w:tcPr>
            <w:tcW w:type="dxa" w:w="1440"/>
            <w:noWrap/>
            <w:shd w:val="clear" w:fill="FFE6E6"/>
          </w:tcPr>
          <w:p>
            <w:pPr>
              <w:jc w:val="left"/>
            </w:pPr>
            <w:r>
              <w:rPr>
                <w:b/>
                <w:color w:val="FF0000"/>
              </w:rPr>
              <w:t>2.632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ESCUELA ANDES DEL SUR (08-02-26):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10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Escuela Andes del SUR registró 11 alerta(s) durante 9 día(s) del periodo analizado. La periodicidad de las alertas es intermitente (más del 20% de los días).</w:t>
      </w:r>
    </w:p>
    <w:p/>
    <w:p>
      <w:pPr>
        <w:keepNext/>
        <w:widowControl/>
        <w:spacing w:after="60"/>
      </w:pPr>
      <w:r>
        <w:rPr>
          <w:b/>
          <w:color w:val="003366"/>
        </w:rPr>
        <w:t>DÍA CON MAYOR CONSUMO NOCTURNO - CONSOLIDADA (13-02-26):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10_10.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Consolidada registró 29 alerta(s) durante 21 día(s) del periodo analizado. La periodicidad de las alertas es regular (más del 50% de los días). Se identificó una proyección de filtración de 158 m³ ($200.660), lo que indica un patrón de fuga constante durante el periodo.</w:t>
      </w:r>
    </w:p>
    <w:p/>
    <w:p>
      <w:pPr>
        <w:keepNext/>
        <w:widowControl/>
        <w:spacing w:after="60"/>
      </w:pPr>
      <w:r>
        <w:rPr>
          <w:b/>
          <w:color w:val="003366"/>
        </w:rPr>
        <w:t>DÍA CON MAYOR CONSUMO NOCTURNO - ESC. GABRIELA (25-02-26):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10_06.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Esc. Gabriela registró 24 alerta(s) durante 17 día(s) del periodo analizado. La periodicidad de las alertas es regular (más del 50% de los días).</w:t>
      </w:r>
    </w:p>
    <w:p/>
    <w:p>
      <w:pPr>
        <w:keepNext/>
        <w:widowControl/>
        <w:spacing w:after="60"/>
      </w:pPr>
      <w:r>
        <w:rPr>
          <w:b/>
          <w:color w:val="003366"/>
        </w:rPr>
        <w:t>DÍA CON MAYOR CONSUMO NOCTURNO - LICEO CHILOÉ (07-02-26):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10_08.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Liceo Chiloé registró 2 alerta(s) durante 2 día(s) del periodo analizado. La periodicidad de las alertas es puntual (menos del 20% de los días).</w:t>
      </w:r>
    </w:p>
    <w:p/>
    <w:p>
      <w:pPr>
        <w:keepNext/>
        <w:widowControl/>
        <w:spacing w:after="60"/>
      </w:pPr>
      <w:r>
        <w:rPr>
          <w:b/>
          <w:color w:val="003366"/>
        </w:rPr>
        <w:t>DÍA CON MAYOR CONSUMO NOCTURNO - COLEGIO MAIPO (13-02-26):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10_04.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Colegio Maipo registró 33 alerta(s) durante 18 día(s) del periodo analizado. La periodicidad de las alertas es regular (más del 50% de los días). Se identificó una proyección de filtración de 140,6 m³ ($178.511), lo que indica un patrón de fuga constante durante el periodo.</w:t>
      </w:r>
    </w:p>
    <w:p/>
    <w:p>
      <w:pPr>
        <w:keepNext/>
        <w:widowControl/>
        <w:spacing w:after="60"/>
      </w:pPr>
      <w:r>
        <w:rPr>
          <w:b/>
          <w:color w:val="003366"/>
        </w:rPr>
        <w:t>DÍA CON MAYOR CONSUMO NOCTURNO - ESC. PADRE HURTADO (05-02-26):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10_03.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Esc. Padre Hurtado registró 24 alerta(s) durante 19 día(s) del periodo analizado. La periodicidad de las alertas es regular (más del 50% de los días).</w:t>
      </w:r>
    </w:p>
    <w:p/>
    <w:p>
      <w:pPr>
        <w:keepNext/>
        <w:widowControl/>
        <w:spacing w:after="60"/>
      </w:pPr>
      <w:r>
        <w:rPr>
          <w:b/>
          <w:color w:val="003366"/>
        </w:rPr>
        <w:t>DÍA CON MAYOR CONSUMO NOCTURNO - ESC. JUAN MACKENNA (26-02-26):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10_07.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Esc. Juan Mackenna registró 32 alerta(s) durante 19 día(s) del periodo analizado. La periodicidad de las alertas es regular (más del 50% de los días). Se identificó una proyección de filtración de 108,7 m³ ($138.074), lo que indica un patrón de fuga constante durante el periodo.</w:t>
      </w:r>
    </w:p>
    <w:p/>
    <w:p>
      <w:pPr>
        <w:keepNext/>
        <w:widowControl/>
        <w:spacing w:after="60"/>
      </w:pPr>
      <w:r>
        <w:rPr>
          <w:b/>
          <w:color w:val="003366"/>
        </w:rPr>
        <w:t>DÍA CON MAYOR CONSUMO NOCTURNO - ESC. LUIS MATTE LARRAÍN (01-02-26):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10_05.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Esc. Luis Matte Larraín registró 5 alerta(s) durante 4 día(s) del periodo analizado. La periodicidad de las alertas es puntual (menos del 20% de los días). Se identificó una proyección de filtración de 494 m³ ($627.329), lo que indica un patrón de fuga constante durante el periodo.</w:t>
      </w:r>
    </w:p>
    <w:p/>
    <w:p>
      <w:pPr>
        <w:keepNext/>
        <w:widowControl/>
        <w:spacing w:after="60"/>
      </w:pPr>
      <w:r>
        <w:rPr>
          <w:b/>
          <w:color w:val="003366"/>
        </w:rPr>
        <w:t>DÍA CON MAYOR CONSUMO NOCTURNO - ESC. NONATO COO (14-02-26):</w:t>
      </w:r>
    </w:p>
    <w:p>
      <w:pPr>
        <w:keepNext/>
        <w:widowControl/>
        <w:spacing w:after="60"/>
        <w:jc w:val="center"/>
      </w:pPr>
      <w:r>
        <w:drawing>
          <wp:inline xmlns:a="http://schemas.openxmlformats.org/drawingml/2006/main" xmlns:pic="http://schemas.openxmlformats.org/drawingml/2006/picture">
            <wp:extent cx="5486400" cy="2702533"/>
            <wp:docPr id="11" name="Picture 11"/>
            <wp:cNvGraphicFramePr>
              <a:graphicFrameLocks noChangeAspect="1"/>
            </wp:cNvGraphicFramePr>
            <a:graphic>
              <a:graphicData uri="http://schemas.openxmlformats.org/drawingml/2006/picture">
                <pic:pic>
                  <pic:nvPicPr>
                    <pic:cNvPr id="0" name="chart_max_nocturnal_000010_11.png"/>
                    <pic:cNvPicPr/>
                  </pic:nvPicPr>
                  <pic:blipFill>
                    <a:blip r:embed="rId20"/>
                    <a:stretch>
                      <a:fillRect/>
                    </a:stretch>
                  </pic:blipFill>
                  <pic:spPr>
                    <a:xfrm>
                      <a:off x="0" y="0"/>
                      <a:ext cx="5486400" cy="2702533"/>
                    </a:xfrm>
                    <a:prstGeom prst="rect"/>
                  </pic:spPr>
                </pic:pic>
              </a:graphicData>
            </a:graphic>
          </wp:inline>
        </w:drawing>
      </w:r>
    </w:p>
    <w:p>
      <w:pPr>
        <w:jc w:val="both"/>
      </w:pPr>
      <w:r>
        <w:rPr>
          <w:color w:val="000000"/>
        </w:rPr>
        <w:t>El nodo Esc. Nonato Coo registró 5 alerta(s) durante 5 día(s) del periodo analizado. La periodicidad de las alertas es puntual (menos del 20% de los días).</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2" name="Picture 12"/>
            <wp:cNvGraphicFramePr>
              <a:graphicFrameLocks noChangeAspect="1"/>
            </wp:cNvGraphicFramePr>
            <a:graphic>
              <a:graphicData uri="http://schemas.openxmlformats.org/drawingml/2006/picture">
                <pic:pic>
                  <pic:nvPicPr>
                    <pic:cNvPr id="0" name="chart_comparacion_mensual_agregada.png"/>
                    <pic:cNvPicPr/>
                  </pic:nvPicPr>
                  <pic:blipFill>
                    <a:blip r:embed="rId21"/>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Esc. Villa Independencia, Esc. Luis Matte Larraín, Consolidada, Colegio Maipo y Esc. Juan Mackenna.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