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01-04-26 - 28-04-26</w:t>
        <w:br/>
        <w:t>Generado: 28-04-26 21:10</w:t>
      </w:r>
    </w:p>
    <w:p>
      <w:pPr>
        <w:pStyle w:val="Heading1"/>
        <w:keepNext/>
        <w:widowControl/>
        <w:spacing w:after="60"/>
      </w:pPr>
      <w:r>
        <w:rPr>
          <w:b/>
          <w:color w:val="003366"/>
        </w:rPr>
        <w:t>RESUMEN EJECUTIVO AGREGADO</w:t>
      </w:r>
    </w:p>
    <w:p>
      <w:r>
        <w:t>Puntos de monitoreo analizados: 11.</w:t>
        <w:br/>
      </w:r>
      <w:r>
        <w:t>Consumo total agregado: 5.695,8 m³.</w:t>
        <w:br/>
      </w:r>
      <w:r>
        <w:t>Consumo promedio por punto: 517,8 m³.</w:t>
        <w:br/>
      </w:r>
      <w:r>
        <w:t>Total de alertas registradas: 137.</w:t>
        <w:br/>
      </w:r>
      <w:r>
        <w:t>Promedio de alerta agregado: 0,1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Liceo Chiloé, con un total de 1.240 m³ durante el periodo analizado. Este valor representa un 139,5% por encima del promedio (517,8 m³ por punto), indicando una demanda significativamente superior a la media. Por otro lado, el punto con menor consumo es Esc. Villa Independencia, con un total de 107 m³. Este valor representa un 79,3% por debajo del promedio, mostrando una demanda significativamente inferior. La diferencia entre el punto de mayor y menor consumo es considerable, siendo el consumo máximo aproximadamente 11,6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Chiloé</w:t>
            </w:r>
          </w:p>
        </w:tc>
        <w:tc>
          <w:tcPr>
            <w:tcW w:type="dxa" w:w="1440"/>
            <w:noWrap/>
          </w:tcPr>
          <w:p>
            <w:r>
              <w:t>1.240</w:t>
            </w:r>
          </w:p>
        </w:tc>
        <w:tc>
          <w:tcPr>
            <w:tcW w:type="dxa" w:w="1440"/>
            <w:noWrap/>
          </w:tcPr>
          <w:p>
            <w:r>
              <w:t>1</w:t>
            </w:r>
          </w:p>
        </w:tc>
        <w:tc>
          <w:tcPr>
            <w:tcW w:type="dxa" w:w="1440"/>
            <w:noWrap/>
          </w:tcPr>
          <w:p>
            <w:pPr>
              <w:jc w:val="left"/>
            </w:pPr>
            <w:r>
              <w:t>363,3 m³</w:t>
            </w:r>
          </w:p>
          <w:p>
            <w:pPr>
              <w:jc w:val="left"/>
            </w:pPr>
            <w:r>
              <w:t>(21 días, 91,3%)</w:t>
            </w:r>
          </w:p>
        </w:tc>
        <w:tc>
          <w:tcPr>
            <w:tcW w:type="dxa" w:w="1440"/>
            <w:noWrap/>
          </w:tcPr>
          <w:p>
            <w:pPr>
              <w:jc w:val="left"/>
            </w:pPr>
            <w:r>
              <w:t>1.245,6 m³</w:t>
            </w:r>
          </w:p>
          <w:p>
            <w:pPr>
              <w:jc w:val="left"/>
            </w:pPr>
            <w:r>
              <w:t>(100,5%)</w:t>
            </w:r>
          </w:p>
        </w:tc>
      </w:tr>
      <w:tr>
        <w:tc>
          <w:tcPr>
            <w:tcW w:type="dxa" w:w="1440"/>
            <w:noWrap/>
          </w:tcPr>
          <w:p>
            <w:r>
              <w:t>2</w:t>
            </w:r>
          </w:p>
        </w:tc>
        <w:tc>
          <w:tcPr>
            <w:tcW w:type="dxa" w:w="1440"/>
            <w:noWrap/>
          </w:tcPr>
          <w:p>
            <w:r>
              <w:t>Escuela Andes del SUR</w:t>
            </w:r>
          </w:p>
        </w:tc>
        <w:tc>
          <w:tcPr>
            <w:tcW w:type="dxa" w:w="1440"/>
            <w:noWrap/>
          </w:tcPr>
          <w:p>
            <w:r>
              <w:t>918,8</w:t>
            </w:r>
          </w:p>
        </w:tc>
        <w:tc>
          <w:tcPr>
            <w:tcW w:type="dxa" w:w="1440"/>
            <w:noWrap/>
          </w:tcPr>
          <w:p>
            <w:r>
              <w:t>21</w:t>
            </w:r>
          </w:p>
        </w:tc>
        <w:tc>
          <w:tcPr>
            <w:tcW w:type="dxa" w:w="1440"/>
            <w:noWrap/>
          </w:tcPr>
          <w:p>
            <w:pPr>
              <w:jc w:val="left"/>
            </w:pPr>
            <w:r>
              <w:t>292,6 m³</w:t>
            </w:r>
          </w:p>
          <w:p>
            <w:pPr>
              <w:jc w:val="left"/>
            </w:pPr>
            <w:r>
              <w:t>(28 días, 100%)</w:t>
            </w:r>
          </w:p>
        </w:tc>
        <w:tc>
          <w:tcPr>
            <w:tcW w:type="dxa" w:w="1440"/>
            <w:noWrap/>
          </w:tcPr>
          <w:p>
            <w:pPr>
              <w:jc w:val="left"/>
            </w:pPr>
            <w:r>
              <w:t>1.003,3 m³</w:t>
            </w:r>
          </w:p>
          <w:p>
            <w:pPr>
              <w:jc w:val="left"/>
            </w:pPr>
            <w:r>
              <w:t>(109,2%)</w:t>
            </w:r>
          </w:p>
        </w:tc>
      </w:tr>
      <w:tr>
        <w:tc>
          <w:tcPr>
            <w:tcW w:type="dxa" w:w="1440"/>
            <w:noWrap/>
          </w:tcPr>
          <w:p>
            <w:r>
              <w:t>3</w:t>
            </w:r>
          </w:p>
        </w:tc>
        <w:tc>
          <w:tcPr>
            <w:tcW w:type="dxa" w:w="1440"/>
            <w:noWrap/>
          </w:tcPr>
          <w:p>
            <w:r>
              <w:t>Consolidada</w:t>
            </w:r>
          </w:p>
        </w:tc>
        <w:tc>
          <w:tcPr>
            <w:tcW w:type="dxa" w:w="1440"/>
            <w:noWrap/>
          </w:tcPr>
          <w:p>
            <w:r>
              <w:t>764,4</w:t>
            </w:r>
          </w:p>
        </w:tc>
        <w:tc>
          <w:tcPr>
            <w:tcW w:type="dxa" w:w="1440"/>
            <w:noWrap/>
          </w:tcPr>
          <w:p>
            <w:r>
              <w:t>27</w:t>
            </w:r>
          </w:p>
        </w:tc>
        <w:tc>
          <w:tcPr>
            <w:tcW w:type="dxa" w:w="1440"/>
            <w:noWrap/>
          </w:tcPr>
          <w:p>
            <w:pPr>
              <w:jc w:val="left"/>
            </w:pPr>
            <w:r>
              <w:t>192,6 m³</w:t>
            </w:r>
          </w:p>
          <w:p>
            <w:pPr>
              <w:jc w:val="left"/>
            </w:pPr>
            <w:r>
              <w:t>(28 días, 100%)</w:t>
            </w:r>
          </w:p>
        </w:tc>
        <w:tc>
          <w:tcPr>
            <w:tcW w:type="dxa" w:w="1440"/>
            <w:noWrap/>
          </w:tcPr>
          <w:p>
            <w:pPr>
              <w:jc w:val="left"/>
            </w:pPr>
            <w:r>
              <w:t>660,3 m³</w:t>
            </w:r>
          </w:p>
          <w:p>
            <w:pPr>
              <w:jc w:val="left"/>
            </w:pPr>
            <w:r>
              <w:t>(86,4%)</w:t>
            </w:r>
          </w:p>
        </w:tc>
      </w:tr>
      <w:tr>
        <w:tc>
          <w:tcPr>
            <w:tcW w:type="dxa" w:w="1440"/>
            <w:noWrap/>
          </w:tcPr>
          <w:p>
            <w:r>
              <w:t>4</w:t>
            </w:r>
          </w:p>
        </w:tc>
        <w:tc>
          <w:tcPr>
            <w:tcW w:type="dxa" w:w="1440"/>
            <w:noWrap/>
          </w:tcPr>
          <w:p>
            <w:r>
              <w:t>Esc. Luis Matte Larraín</w:t>
            </w:r>
          </w:p>
        </w:tc>
        <w:tc>
          <w:tcPr>
            <w:tcW w:type="dxa" w:w="1440"/>
            <w:noWrap/>
          </w:tcPr>
          <w:p>
            <w:r>
              <w:t>667,6</w:t>
            </w:r>
          </w:p>
        </w:tc>
        <w:tc>
          <w:tcPr>
            <w:tcW w:type="dxa" w:w="1440"/>
            <w:noWrap/>
          </w:tcPr>
          <w:p>
            <w:r>
              <w:t>9</w:t>
            </w:r>
          </w:p>
        </w:tc>
        <w:tc>
          <w:tcPr>
            <w:tcW w:type="dxa" w:w="1440"/>
            <w:noWrap/>
          </w:tcPr>
          <w:p>
            <w:pPr>
              <w:jc w:val="left"/>
            </w:pPr>
            <w:r>
              <w:t>195,7 m³</w:t>
            </w:r>
          </w:p>
          <w:p>
            <w:pPr>
              <w:jc w:val="left"/>
            </w:pPr>
            <w:r>
              <w:t>(28 días, 100%)</w:t>
            </w:r>
          </w:p>
        </w:tc>
        <w:tc>
          <w:tcPr>
            <w:tcW w:type="dxa" w:w="1440"/>
            <w:noWrap/>
          </w:tcPr>
          <w:p>
            <w:pPr>
              <w:jc w:val="left"/>
            </w:pPr>
            <w:r>
              <w:t>671 m³</w:t>
            </w:r>
          </w:p>
          <w:p>
            <w:pPr>
              <w:jc w:val="left"/>
            </w:pPr>
            <w:r>
              <w:t>(100,5%)</w:t>
            </w:r>
          </w:p>
        </w:tc>
      </w:tr>
      <w:tr>
        <w:tc>
          <w:tcPr>
            <w:tcW w:type="dxa" w:w="1440"/>
            <w:noWrap/>
          </w:tcPr>
          <w:p>
            <w:r>
              <w:t>5</w:t>
            </w:r>
          </w:p>
        </w:tc>
        <w:tc>
          <w:tcPr>
            <w:tcW w:type="dxa" w:w="1440"/>
            <w:noWrap/>
          </w:tcPr>
          <w:p>
            <w:r>
              <w:t>Colegio Maipo</w:t>
            </w:r>
          </w:p>
        </w:tc>
        <w:tc>
          <w:tcPr>
            <w:tcW w:type="dxa" w:w="1440"/>
            <w:noWrap/>
          </w:tcPr>
          <w:p>
            <w:r>
              <w:t>612,1</w:t>
            </w:r>
          </w:p>
        </w:tc>
        <w:tc>
          <w:tcPr>
            <w:tcW w:type="dxa" w:w="1440"/>
            <w:noWrap/>
          </w:tcPr>
          <w:p>
            <w:r>
              <w:t>19</w:t>
            </w:r>
          </w:p>
        </w:tc>
        <w:tc>
          <w:tcPr>
            <w:tcW w:type="dxa" w:w="1440"/>
            <w:noWrap/>
          </w:tcPr>
          <w:p>
            <w:pPr>
              <w:jc w:val="left"/>
            </w:pPr>
            <w:r>
              <w:t>142,1 m³</w:t>
            </w:r>
          </w:p>
          <w:p>
            <w:pPr>
              <w:jc w:val="left"/>
            </w:pPr>
            <w:r>
              <w:t>(28 días, 100%)</w:t>
            </w:r>
          </w:p>
        </w:tc>
        <w:tc>
          <w:tcPr>
            <w:tcW w:type="dxa" w:w="1440"/>
            <w:noWrap/>
          </w:tcPr>
          <w:p>
            <w:pPr>
              <w:jc w:val="left"/>
            </w:pPr>
            <w:r>
              <w:t>487,1 m³</w:t>
            </w:r>
          </w:p>
          <w:p>
            <w:pPr>
              <w:jc w:val="left"/>
            </w:pPr>
            <w:r>
              <w:t>(79,6%)</w:t>
            </w:r>
          </w:p>
        </w:tc>
      </w:tr>
      <w:tr>
        <w:tc>
          <w:tcPr>
            <w:tcW w:type="dxa" w:w="1440"/>
            <w:noWrap/>
          </w:tcPr>
          <w:p>
            <w:r>
              <w:t>6</w:t>
            </w:r>
          </w:p>
        </w:tc>
        <w:tc>
          <w:tcPr>
            <w:tcW w:type="dxa" w:w="1440"/>
            <w:noWrap/>
          </w:tcPr>
          <w:p>
            <w:r>
              <w:t>Esc. Padre Hurtado</w:t>
            </w:r>
          </w:p>
        </w:tc>
        <w:tc>
          <w:tcPr>
            <w:tcW w:type="dxa" w:w="1440"/>
            <w:noWrap/>
          </w:tcPr>
          <w:p>
            <w:r>
              <w:t>493,7</w:t>
            </w:r>
          </w:p>
        </w:tc>
        <w:tc>
          <w:tcPr>
            <w:tcW w:type="dxa" w:w="1440"/>
            <w:noWrap/>
          </w:tcPr>
          <w:p>
            <w:r>
              <w:t>21</w:t>
            </w:r>
          </w:p>
        </w:tc>
        <w:tc>
          <w:tcPr>
            <w:tcW w:type="dxa" w:w="1440"/>
            <w:noWrap/>
          </w:tcPr>
          <w:p>
            <w:pPr>
              <w:jc w:val="left"/>
            </w:pPr>
            <w:r>
              <w:t>142,8 m³</w:t>
            </w:r>
          </w:p>
          <w:p>
            <w:pPr>
              <w:jc w:val="left"/>
            </w:pPr>
            <w:r>
              <w:t>(28 días, 100%)</w:t>
            </w:r>
          </w:p>
        </w:tc>
        <w:tc>
          <w:tcPr>
            <w:tcW w:type="dxa" w:w="1440"/>
            <w:noWrap/>
          </w:tcPr>
          <w:p>
            <w:pPr>
              <w:jc w:val="left"/>
            </w:pPr>
            <w:r>
              <w:t>489,5 m³</w:t>
            </w:r>
          </w:p>
          <w:p>
            <w:pPr>
              <w:jc w:val="left"/>
            </w:pPr>
            <w:r>
              <w:t>(99,1%)</w:t>
            </w:r>
          </w:p>
        </w:tc>
      </w:tr>
      <w:tr>
        <w:tc>
          <w:tcPr>
            <w:tcW w:type="dxa" w:w="1440"/>
            <w:noWrap/>
          </w:tcPr>
          <w:p>
            <w:r>
              <w:t>7</w:t>
            </w:r>
          </w:p>
        </w:tc>
        <w:tc>
          <w:tcPr>
            <w:tcW w:type="dxa" w:w="1440"/>
            <w:noWrap/>
          </w:tcPr>
          <w:p>
            <w:r>
              <w:t>Esc. Juan Mackenna</w:t>
            </w:r>
          </w:p>
        </w:tc>
        <w:tc>
          <w:tcPr>
            <w:tcW w:type="dxa" w:w="1440"/>
            <w:noWrap/>
          </w:tcPr>
          <w:p>
            <w:r>
              <w:t>390,5</w:t>
            </w:r>
          </w:p>
        </w:tc>
        <w:tc>
          <w:tcPr>
            <w:tcW w:type="dxa" w:w="1440"/>
            <w:noWrap/>
          </w:tcPr>
          <w:p>
            <w:r>
              <w:t>14</w:t>
            </w:r>
          </w:p>
        </w:tc>
        <w:tc>
          <w:tcPr>
            <w:tcW w:type="dxa" w:w="1440"/>
            <w:noWrap/>
          </w:tcPr>
          <w:p>
            <w:pPr>
              <w:jc w:val="left"/>
            </w:pPr>
            <w:r>
              <w:t>86,6 m³</w:t>
            </w:r>
          </w:p>
          <w:p>
            <w:pPr>
              <w:jc w:val="left"/>
            </w:pPr>
            <w:r>
              <w:t>(28 días, 100%)</w:t>
            </w:r>
          </w:p>
        </w:tc>
        <w:tc>
          <w:tcPr>
            <w:tcW w:type="dxa" w:w="1440"/>
            <w:noWrap/>
          </w:tcPr>
          <w:p>
            <w:pPr>
              <w:jc w:val="left"/>
            </w:pPr>
            <w:r>
              <w:t>297 m³</w:t>
            </w:r>
          </w:p>
          <w:p>
            <w:pPr>
              <w:jc w:val="left"/>
            </w:pPr>
            <w:r>
              <w:t>(76,1%)</w:t>
            </w:r>
          </w:p>
        </w:tc>
      </w:tr>
      <w:tr>
        <w:tc>
          <w:tcPr>
            <w:tcW w:type="dxa" w:w="1440"/>
            <w:noWrap/>
          </w:tcPr>
          <w:p>
            <w:r>
              <w:t>8</w:t>
            </w:r>
          </w:p>
        </w:tc>
        <w:tc>
          <w:tcPr>
            <w:tcW w:type="dxa" w:w="1440"/>
            <w:noWrap/>
          </w:tcPr>
          <w:p>
            <w:r>
              <w:t>Esc. Nonato Coo</w:t>
            </w:r>
          </w:p>
        </w:tc>
        <w:tc>
          <w:tcPr>
            <w:tcW w:type="dxa" w:w="1440"/>
            <w:noWrap/>
          </w:tcPr>
          <w:p>
            <w:r>
              <w:t>247,7</w:t>
            </w:r>
          </w:p>
        </w:tc>
        <w:tc>
          <w:tcPr>
            <w:tcW w:type="dxa" w:w="1440"/>
            <w:noWrap/>
          </w:tcPr>
          <w:p>
            <w:r>
              <w:t>3</w:t>
            </w:r>
          </w:p>
        </w:tc>
        <w:tc>
          <w:tcPr>
            <w:tcW w:type="dxa" w:w="1440"/>
            <w:noWrap/>
          </w:tcPr>
          <w:p>
            <w:pPr>
              <w:jc w:val="left"/>
            </w:pPr>
            <w:r>
              <w:t>35,8 m³</w:t>
            </w:r>
          </w:p>
          <w:p>
            <w:pPr>
              <w:jc w:val="left"/>
            </w:pPr>
            <w:r>
              <w:t>(24 días, 85,7%)</w:t>
            </w:r>
          </w:p>
        </w:tc>
        <w:tc>
          <w:tcPr>
            <w:tcW w:type="dxa" w:w="1440"/>
            <w:noWrap/>
          </w:tcPr>
          <w:p>
            <w:pPr>
              <w:jc w:val="left"/>
            </w:pPr>
            <w:r>
              <w:t>122,7 m³</w:t>
            </w:r>
          </w:p>
          <w:p>
            <w:pPr>
              <w:jc w:val="left"/>
            </w:pPr>
            <w:r>
              <w:t>(49,5%)</w:t>
            </w:r>
          </w:p>
        </w:tc>
      </w:tr>
      <w:tr>
        <w:tc>
          <w:tcPr>
            <w:tcW w:type="dxa" w:w="1440"/>
            <w:noWrap/>
          </w:tcPr>
          <w:p>
            <w:r>
              <w:t>9</w:t>
            </w:r>
          </w:p>
        </w:tc>
        <w:tc>
          <w:tcPr>
            <w:tcW w:type="dxa" w:w="1440"/>
            <w:noWrap/>
          </w:tcPr>
          <w:p>
            <w:r>
              <w:t>Esc. Los Andes</w:t>
            </w:r>
          </w:p>
        </w:tc>
        <w:tc>
          <w:tcPr>
            <w:tcW w:type="dxa" w:w="1440"/>
            <w:noWrap/>
          </w:tcPr>
          <w:p>
            <w:r>
              <w:t>145,6</w:t>
            </w:r>
          </w:p>
        </w:tc>
        <w:tc>
          <w:tcPr>
            <w:tcW w:type="dxa" w:w="1440"/>
            <w:noWrap/>
          </w:tcPr>
          <w:p>
            <w:r>
              <w:t>12</w:t>
            </w:r>
          </w:p>
        </w:tc>
        <w:tc>
          <w:tcPr>
            <w:tcW w:type="dxa" w:w="1440"/>
            <w:noWrap/>
          </w:tcPr>
          <w:p>
            <w:pPr>
              <w:jc w:val="left"/>
            </w:pPr>
            <w:r>
              <w:t>40,2 m³</w:t>
            </w:r>
          </w:p>
          <w:p>
            <w:pPr>
              <w:jc w:val="left"/>
            </w:pPr>
            <w:r>
              <w:t>(19 días, 82,6%)</w:t>
            </w:r>
          </w:p>
        </w:tc>
        <w:tc>
          <w:tcPr>
            <w:tcW w:type="dxa" w:w="1440"/>
            <w:noWrap/>
          </w:tcPr>
          <w:p>
            <w:pPr>
              <w:jc w:val="left"/>
            </w:pPr>
            <w:r>
              <w:t>137,9 m³</w:t>
            </w:r>
          </w:p>
          <w:p>
            <w:pPr>
              <w:jc w:val="left"/>
            </w:pPr>
            <w:r>
              <w:t>(94,7%)</w:t>
            </w:r>
          </w:p>
        </w:tc>
      </w:tr>
      <w:tr>
        <w:tc>
          <w:tcPr>
            <w:tcW w:type="dxa" w:w="1440"/>
            <w:noWrap/>
          </w:tcPr>
          <w:p>
            <w:r>
              <w:t>10</w:t>
            </w:r>
          </w:p>
        </w:tc>
        <w:tc>
          <w:tcPr>
            <w:tcW w:type="dxa" w:w="1440"/>
            <w:noWrap/>
          </w:tcPr>
          <w:p>
            <w:r>
              <w:t>Esc. Gabriela</w:t>
            </w:r>
          </w:p>
        </w:tc>
        <w:tc>
          <w:tcPr>
            <w:tcW w:type="dxa" w:w="1440"/>
            <w:noWrap/>
          </w:tcPr>
          <w:p>
            <w:r>
              <w:t>108,3</w:t>
            </w:r>
          </w:p>
        </w:tc>
        <w:tc>
          <w:tcPr>
            <w:tcW w:type="dxa" w:w="1440"/>
            <w:noWrap/>
          </w:tcPr>
          <w:p>
            <w:r>
              <w:t>10</w:t>
            </w:r>
          </w:p>
        </w:tc>
        <w:tc>
          <w:tcPr>
            <w:tcW w:type="dxa" w:w="1440"/>
            <w:noWrap/>
          </w:tcPr>
          <w:p>
            <w:pPr>
              <w:jc w:val="left"/>
            </w:pPr>
            <w:r>
              <w:t>7 m³</w:t>
            </w:r>
          </w:p>
          <w:p>
            <w:pPr>
              <w:jc w:val="left"/>
            </w:pPr>
            <w:r>
              <w:t>(20 días, 71,4%)</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Villa Independencia</w:t>
            </w:r>
          </w:p>
        </w:tc>
        <w:tc>
          <w:tcPr>
            <w:tcW w:type="dxa" w:w="1440"/>
            <w:noWrap/>
          </w:tcPr>
          <w:p>
            <w:r>
              <w:t>107</w:t>
            </w:r>
          </w:p>
        </w:tc>
        <w:tc>
          <w:tcPr>
            <w:tcW w:type="dxa" w:w="1440"/>
            <w:noWrap/>
          </w:tcPr>
          <w:p>
            <w:r>
              <w:t>0</w:t>
            </w:r>
          </w:p>
        </w:tc>
        <w:tc>
          <w:tcPr>
            <w:tcW w:type="dxa" w:w="1440"/>
            <w:noWrap/>
          </w:tcPr>
          <w:p>
            <w:pPr>
              <w:jc w:val="left"/>
            </w:pPr>
            <w:r>
              <w:t>26,6 m³</w:t>
            </w:r>
          </w:p>
          <w:p>
            <w:pPr>
              <w:jc w:val="left"/>
            </w:pPr>
            <w:r>
              <w:t>(28 días, 100%)</w:t>
            </w:r>
          </w:p>
        </w:tc>
        <w:tc>
          <w:tcPr>
            <w:tcW w:type="dxa" w:w="1440"/>
            <w:noWrap/>
          </w:tcPr>
          <w:p>
            <w:pPr>
              <w:jc w:val="left"/>
            </w:pPr>
            <w:r>
              <w:t>91,1 m³</w:t>
            </w:r>
          </w:p>
          <w:p>
            <w:pPr>
              <w:jc w:val="left"/>
            </w:pPr>
            <w:r>
              <w:t>(85,1%)</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5.695,8</w:t>
            </w:r>
          </w:p>
        </w:tc>
        <w:tc>
          <w:tcPr>
            <w:tcW w:type="dxa" w:w="1440"/>
            <w:noWrap/>
            <w:shd w:val="clear" w:fill="FFE6E6"/>
          </w:tcPr>
          <w:p>
            <w:pPr>
              <w:jc w:val="left"/>
            </w:pPr>
            <w:r>
              <w:rPr>
                <w:b/>
                <w:color w:val="FF0000"/>
              </w:rPr>
              <w:t>137</w:t>
            </w:r>
          </w:p>
        </w:tc>
        <w:tc>
          <w:tcPr>
            <w:tcW w:type="dxa" w:w="1440"/>
            <w:noWrap/>
            <w:shd w:val="clear" w:fill="FFE6E6"/>
          </w:tcPr>
          <w:p>
            <w:pPr>
              <w:jc w:val="left"/>
            </w:pPr>
            <w:r>
              <w:rPr>
                <w:b/>
                <w:color w:val="FF0000"/>
              </w:rPr>
              <w:t>1.525,2 m³</w:t>
            </w:r>
          </w:p>
        </w:tc>
        <w:tc>
          <w:tcPr>
            <w:tcW w:type="dxa" w:w="1440"/>
            <w:noWrap/>
            <w:shd w:val="clear" w:fill="FFE6E6"/>
          </w:tcPr>
          <w:p>
            <w:pPr>
              <w:jc w:val="left"/>
            </w:pPr>
            <w:r>
              <w:rPr>
                <w:b/>
                <w:color w:val="FF0000"/>
              </w:rPr>
              <w:t>5.205,5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ESCUELA ANDES DEL SUR (28-04-26):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Escuela Andes del SUR registró 21 alerta(s) durante 17 día(s) del periodo analizado. La periodicidad de las alertas es regular (más del 50% de los días). Se identificó una proyección de filtración de 1.003,3 m³ ($1.274.184), lo que indica un patrón de fuga constante durante el periodo.</w:t>
      </w:r>
    </w:p>
    <w:p/>
    <w:p>
      <w:pPr>
        <w:keepNext/>
        <w:widowControl/>
        <w:spacing w:after="60"/>
      </w:pPr>
      <w:r>
        <w:rPr>
          <w:b/>
          <w:color w:val="003366"/>
        </w:rPr>
        <w:t>DÍA CON MAYOR CONSUMO NOCTURNO - ESC. PADRE HURTADO (28-04-26):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Esc. Padre Hurtado registró 21 alerta(s) durante 16 día(s) del periodo analizado. La periodicidad de las alertas es regular (más del 50% de los días). Se identificó una proyección de filtración de 489,5 m³ ($621.641), lo que indica un patrón de fuga constante durante el periodo.</w:t>
      </w:r>
    </w:p>
    <w:p/>
    <w:p>
      <w:pPr>
        <w:keepNext/>
        <w:widowControl/>
        <w:spacing w:after="60"/>
      </w:pPr>
      <w:r>
        <w:rPr>
          <w:b/>
          <w:color w:val="003366"/>
        </w:rPr>
        <w:t>DÍA CON MAYOR CONSUMO NOCTURNO - COLEGIO MAIPO (15-04-26):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10_04.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Colegio Maipo registró 19 alerta(s) durante 15 día(s) del periodo analizado. La periodicidad de las alertas es regular (más del 50% de los días). Se identificó una proyección de filtración de 487,1 m³ ($618.619), lo que indica un patrón de fuga constante durante el periodo.</w:t>
      </w:r>
    </w:p>
    <w:p/>
    <w:p>
      <w:pPr>
        <w:keepNext/>
        <w:widowControl/>
        <w:spacing w:after="60"/>
      </w:pPr>
      <w:r>
        <w:rPr>
          <w:b/>
          <w:color w:val="003366"/>
        </w:rPr>
        <w:t>DÍA CON MAYOR CONSUMO NOCTURNO - ESC. LUIS MATTE LARRAÍN (09-04-26):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Esc. Luis Matte Larraín registró 9 alerta(s) durante 9 día(s) del periodo analizado. La periodicidad de las alertas es intermitente (más del 20% de los días). Se identificó una proyección de filtración de 671 m³ ($852.146), lo que indica un patrón de fuga constante durante el periodo.</w:t>
      </w:r>
    </w:p>
    <w:p/>
    <w:p>
      <w:pPr>
        <w:keepNext/>
        <w:widowControl/>
        <w:spacing w:after="60"/>
      </w:pPr>
      <w:r>
        <w:rPr>
          <w:b/>
          <w:color w:val="003366"/>
        </w:rPr>
        <w:t>DÍA CON MAYOR CONSUMO NOCTURNO - ESC. GABRIELA (25-04-26):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Esc. Gabriela registró 10 alerta(s) durante 10 día(s) del periodo analizado. La periodicidad de las alertas es intermitente (más del 20% de los días).</w:t>
      </w:r>
    </w:p>
    <w:p/>
    <w:p>
      <w:pPr>
        <w:keepNext/>
        <w:widowControl/>
        <w:spacing w:after="60"/>
      </w:pPr>
      <w:r>
        <w:rPr>
          <w:b/>
          <w:color w:val="003366"/>
        </w:rPr>
        <w:t>DÍA CON MAYOR CONSUMO NOCTURNO - ESC. JUAN MACKENNA (21-04-26):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7.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Esc. Juan Mackenna registró 14 alerta(s) durante 11 día(s) del periodo analizado. La periodicidad de las alertas es intermitente (más del 20% de los días). Se identificó una proyección de filtración de 297 m³ ($377.242), lo que indica un patrón de fuga constante durante el periodo.</w:t>
      </w:r>
    </w:p>
    <w:p/>
    <w:p>
      <w:pPr>
        <w:keepNext/>
        <w:widowControl/>
        <w:spacing w:after="60"/>
      </w:pPr>
      <w:r>
        <w:rPr>
          <w:b/>
          <w:color w:val="003366"/>
        </w:rPr>
        <w:t>DÍA CON MAYOR CONSUMO NOCTURNO - LICEO CHILOÉ (21-04-26):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8.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Liceo Chiloé registró 1 alerta(s) durante 1 día(s) del periodo analizado. La periodicidad de las alertas es puntual (menos del 20% de los días). Se identificó una proyección de filtración de 1.245,6 m³ ($1.581.903), lo que indica un patrón de fuga constante durante el periodo.</w:t>
      </w:r>
    </w:p>
    <w:p/>
    <w:p>
      <w:pPr>
        <w:keepNext/>
        <w:widowControl/>
        <w:spacing w:after="60"/>
      </w:pPr>
      <w:r>
        <w:rPr>
          <w:b/>
          <w:color w:val="003366"/>
        </w:rPr>
        <w:t>DÍA CON MAYOR CONSUMO NOCTURNO - ESC. LOS ANDES (21-04-26):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09.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Los Andes registró 12 alerta(s) durante 9 día(s) del periodo analizado. La periodicidad de las alertas es intermitente (más del 20% de los días). Se identificó una proyección de filtración de 137,9 m³ ($175.144), lo que indica un patrón de fuga constante durante el periodo.</w:t>
      </w:r>
    </w:p>
    <w:p/>
    <w:p>
      <w:pPr>
        <w:keepNext/>
        <w:widowControl/>
        <w:spacing w:after="60"/>
      </w:pPr>
      <w:r>
        <w:rPr>
          <w:b/>
          <w:color w:val="003366"/>
        </w:rPr>
        <w:t>DÍA CON MAYOR CONSUMO NOCTURNO - CONSOLIDADA (23-04-26):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10_10.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Consolidada registró 27 alerta(s) durante 17 día(s) del periodo analizado. La periodicidad de las alertas es regular (más del 50% de los días). Se identificó una proyección de filtración de 660,3 m³ ($838.617), lo que indica un patrón de fuga constante durante el periodo.</w:t>
      </w:r>
    </w:p>
    <w:p/>
    <w:p>
      <w:pPr>
        <w:keepNext/>
        <w:widowControl/>
        <w:spacing w:after="60"/>
      </w:pPr>
      <w:r>
        <w:rPr>
          <w:b/>
          <w:color w:val="003366"/>
        </w:rPr>
        <w:t>DÍA CON MAYOR CONSUMO NOCTURNO - ESC. NONATO COO (27-04-26):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10_11.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Esc. Nonato Coo registró 3 alerta(s) durante 3 día(s) del periodo analizado. La periodicidad de las alertas es puntual (menos del 20% de los días). Se identificó una proyección de filtración de 122,7 m³ ($155.800),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Liceo Chiloé, Escuela Andes del SUR, Consolidada, Esc. Luis Matte Larraín, Colegio Maipo, Esc. Padre Hurtado, Esc. Juan Mackenna, Esc. Nonato Coo, Esc. Los Andes y Esc. Villa Independencia.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