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01-04-26 - 30-04-26</w:t>
        <w:br/>
        <w:t>Generado: 05-05-26 16:10</w:t>
      </w:r>
    </w:p>
    <w:p>
      <w:pPr>
        <w:pStyle w:val="Heading1"/>
        <w:keepNext/>
        <w:widowControl/>
        <w:spacing w:after="60"/>
      </w:pPr>
      <w:r>
        <w:rPr>
          <w:b/>
          <w:color w:val="003366"/>
        </w:rPr>
        <w:t>RESUMEN EJECUTIVO AGREGADO</w:t>
      </w:r>
    </w:p>
    <w:p>
      <w:r>
        <w:t>Puntos de monitoreo analizados: 11.</w:t>
        <w:br/>
      </w:r>
      <w:r>
        <w:t>Consumo total agregado: 6.351,7 m³.</w:t>
        <w:br/>
      </w:r>
      <w:r>
        <w:t>Consumo promedio por punto: 577,4 m³.</w:t>
        <w:br/>
      </w:r>
      <w:r>
        <w:t>Total de alertas registradas: 146.</w:t>
        <w:br/>
      </w:r>
      <w:r>
        <w:t>Promedio de alerta agregado: 0,5 m³/h.</w:t>
        <w:br/>
      </w:r>
      <w:r>
        <w:t>Proyección diaria de consumo nocturno agregada: 12,6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Liceo Chiloé, con un total de 1.282,4 m³ durante el periodo analizado. Este valor representa un 122,1% por encima del promedio (577,4 m³ por punto), indicando una demanda significativamente superior a la media. Por otro lado, el punto con menor consumo es Esc. Villa Independencia, con un total de 117,4 m³. Este valor representa un 79,7% por debajo del promedio, mostrando una demanda significativamente inferior. La diferencia entre el punto de mayor y menor consumo es considerable, siendo el consumo máximo aproximadamente 10,9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Chiloé</w:t>
            </w:r>
          </w:p>
        </w:tc>
        <w:tc>
          <w:tcPr>
            <w:tcW w:type="dxa" w:w="1440"/>
            <w:noWrap/>
          </w:tcPr>
          <w:p>
            <w:r>
              <w:t>1.282,4</w:t>
            </w:r>
          </w:p>
        </w:tc>
        <w:tc>
          <w:tcPr>
            <w:tcW w:type="dxa" w:w="1440"/>
            <w:noWrap/>
          </w:tcPr>
          <w:p>
            <w:r>
              <w:t>1</w:t>
            </w:r>
          </w:p>
        </w:tc>
        <w:tc>
          <w:tcPr>
            <w:tcW w:type="dxa" w:w="1440"/>
            <w:noWrap/>
          </w:tcPr>
          <w:p>
            <w:pPr>
              <w:jc w:val="left"/>
            </w:pPr>
            <w:r>
              <w:t>363,3 m³</w:t>
            </w:r>
          </w:p>
          <w:p>
            <w:pPr>
              <w:jc w:val="left"/>
            </w:pPr>
            <w:r>
              <w:t>(21 días, 87,5%)</w:t>
            </w:r>
          </w:p>
        </w:tc>
        <w:tc>
          <w:tcPr>
            <w:tcW w:type="dxa" w:w="1440"/>
            <w:noWrap/>
          </w:tcPr>
          <w:p>
            <w:pPr>
              <w:jc w:val="left"/>
            </w:pPr>
            <w:r>
              <w:t>1.245,6 m³</w:t>
            </w:r>
          </w:p>
          <w:p>
            <w:pPr>
              <w:jc w:val="left"/>
            </w:pPr>
            <w:r>
              <w:t>(97,1%)</w:t>
            </w:r>
          </w:p>
        </w:tc>
      </w:tr>
      <w:tr>
        <w:tc>
          <w:tcPr>
            <w:tcW w:type="dxa" w:w="1440"/>
            <w:noWrap/>
          </w:tcPr>
          <w:p>
            <w:r>
              <w:t>2</w:t>
            </w:r>
          </w:p>
        </w:tc>
        <w:tc>
          <w:tcPr>
            <w:tcW w:type="dxa" w:w="1440"/>
            <w:noWrap/>
          </w:tcPr>
          <w:p>
            <w:r>
              <w:t>Escuela Andes del SUR</w:t>
            </w:r>
          </w:p>
        </w:tc>
        <w:tc>
          <w:tcPr>
            <w:tcW w:type="dxa" w:w="1440"/>
            <w:noWrap/>
          </w:tcPr>
          <w:p>
            <w:r>
              <w:t>1.088,2</w:t>
            </w:r>
          </w:p>
        </w:tc>
        <w:tc>
          <w:tcPr>
            <w:tcW w:type="dxa" w:w="1440"/>
            <w:noWrap/>
          </w:tcPr>
          <w:p>
            <w:r>
              <w:t>21</w:t>
            </w:r>
          </w:p>
        </w:tc>
        <w:tc>
          <w:tcPr>
            <w:tcW w:type="dxa" w:w="1440"/>
            <w:noWrap/>
          </w:tcPr>
          <w:p>
            <w:pPr>
              <w:jc w:val="left"/>
            </w:pPr>
            <w:r>
              <w:t>331,8 m³</w:t>
            </w:r>
          </w:p>
          <w:p>
            <w:pPr>
              <w:jc w:val="left"/>
            </w:pPr>
            <w:r>
              <w:t>(30 días, 100%)</w:t>
            </w:r>
          </w:p>
        </w:tc>
        <w:tc>
          <w:tcPr>
            <w:tcW w:type="dxa" w:w="1440"/>
            <w:noWrap/>
          </w:tcPr>
          <w:p>
            <w:pPr>
              <w:jc w:val="left"/>
            </w:pPr>
            <w:r>
              <w:t>1.137,5 m³</w:t>
            </w:r>
          </w:p>
          <w:p>
            <w:pPr>
              <w:jc w:val="left"/>
            </w:pPr>
            <w:r>
              <w:t>(104,5%)</w:t>
            </w:r>
          </w:p>
        </w:tc>
      </w:tr>
      <w:tr>
        <w:tc>
          <w:tcPr>
            <w:tcW w:type="dxa" w:w="1440"/>
            <w:noWrap/>
          </w:tcPr>
          <w:p>
            <w:r>
              <w:t>3</w:t>
            </w:r>
          </w:p>
        </w:tc>
        <w:tc>
          <w:tcPr>
            <w:tcW w:type="dxa" w:w="1440"/>
            <w:noWrap/>
          </w:tcPr>
          <w:p>
            <w:r>
              <w:t>Consolidada</w:t>
            </w:r>
          </w:p>
        </w:tc>
        <w:tc>
          <w:tcPr>
            <w:tcW w:type="dxa" w:w="1440"/>
            <w:noWrap/>
          </w:tcPr>
          <w:p>
            <w:r>
              <w:t>914,8</w:t>
            </w:r>
          </w:p>
        </w:tc>
        <w:tc>
          <w:tcPr>
            <w:tcW w:type="dxa" w:w="1440"/>
            <w:noWrap/>
          </w:tcPr>
          <w:p>
            <w:r>
              <w:t>27</w:t>
            </w:r>
          </w:p>
        </w:tc>
        <w:tc>
          <w:tcPr>
            <w:tcW w:type="dxa" w:w="1440"/>
            <w:noWrap/>
          </w:tcPr>
          <w:p>
            <w:pPr>
              <w:jc w:val="left"/>
            </w:pPr>
            <w:r>
              <w:t>215,8 m³</w:t>
            </w:r>
          </w:p>
          <w:p>
            <w:pPr>
              <w:jc w:val="left"/>
            </w:pPr>
            <w:r>
              <w:t>(30 días, 100%)</w:t>
            </w:r>
          </w:p>
        </w:tc>
        <w:tc>
          <w:tcPr>
            <w:tcW w:type="dxa" w:w="1440"/>
            <w:noWrap/>
          </w:tcPr>
          <w:p>
            <w:pPr>
              <w:jc w:val="left"/>
            </w:pPr>
            <w:r>
              <w:t>739,8 m³</w:t>
            </w:r>
          </w:p>
          <w:p>
            <w:pPr>
              <w:jc w:val="left"/>
            </w:pPr>
            <w:r>
              <w:t>(80,9%)</w:t>
            </w:r>
          </w:p>
        </w:tc>
      </w:tr>
      <w:tr>
        <w:tc>
          <w:tcPr>
            <w:tcW w:type="dxa" w:w="1440"/>
            <w:noWrap/>
          </w:tcPr>
          <w:p>
            <w:r>
              <w:t>4</w:t>
            </w:r>
          </w:p>
        </w:tc>
        <w:tc>
          <w:tcPr>
            <w:tcW w:type="dxa" w:w="1440"/>
            <w:noWrap/>
          </w:tcPr>
          <w:p>
            <w:r>
              <w:t>Esc. Luis Matte Larraín</w:t>
            </w:r>
          </w:p>
        </w:tc>
        <w:tc>
          <w:tcPr>
            <w:tcW w:type="dxa" w:w="1440"/>
            <w:noWrap/>
          </w:tcPr>
          <w:p>
            <w:r>
              <w:t>766,2</w:t>
            </w:r>
          </w:p>
        </w:tc>
        <w:tc>
          <w:tcPr>
            <w:tcW w:type="dxa" w:w="1440"/>
            <w:noWrap/>
          </w:tcPr>
          <w:p>
            <w:r>
              <w:t>9</w:t>
            </w:r>
          </w:p>
        </w:tc>
        <w:tc>
          <w:tcPr>
            <w:tcW w:type="dxa" w:w="1440"/>
            <w:noWrap/>
          </w:tcPr>
          <w:p>
            <w:pPr>
              <w:jc w:val="left"/>
            </w:pPr>
            <w:r>
              <w:t>218 m³</w:t>
            </w:r>
          </w:p>
          <w:p>
            <w:pPr>
              <w:jc w:val="left"/>
            </w:pPr>
            <w:r>
              <w:t>(30 días, 100%)</w:t>
            </w:r>
          </w:p>
        </w:tc>
        <w:tc>
          <w:tcPr>
            <w:tcW w:type="dxa" w:w="1440"/>
            <w:noWrap/>
          </w:tcPr>
          <w:p>
            <w:pPr>
              <w:jc w:val="left"/>
            </w:pPr>
            <w:r>
              <w:t>747,3 m³</w:t>
            </w:r>
          </w:p>
          <w:p>
            <w:pPr>
              <w:jc w:val="left"/>
            </w:pPr>
            <w:r>
              <w:t>(97,5%)</w:t>
            </w:r>
          </w:p>
        </w:tc>
      </w:tr>
      <w:tr>
        <w:tc>
          <w:tcPr>
            <w:tcW w:type="dxa" w:w="1440"/>
            <w:noWrap/>
          </w:tcPr>
          <w:p>
            <w:r>
              <w:t>5</w:t>
            </w:r>
          </w:p>
        </w:tc>
        <w:tc>
          <w:tcPr>
            <w:tcW w:type="dxa" w:w="1440"/>
            <w:noWrap/>
          </w:tcPr>
          <w:p>
            <w:r>
              <w:t>Colegio Maipo</w:t>
            </w:r>
          </w:p>
        </w:tc>
        <w:tc>
          <w:tcPr>
            <w:tcW w:type="dxa" w:w="1440"/>
            <w:noWrap/>
          </w:tcPr>
          <w:p>
            <w:r>
              <w:t>665,2</w:t>
            </w:r>
          </w:p>
        </w:tc>
        <w:tc>
          <w:tcPr>
            <w:tcW w:type="dxa" w:w="1440"/>
            <w:noWrap/>
          </w:tcPr>
          <w:p>
            <w:r>
              <w:t>21</w:t>
            </w:r>
          </w:p>
        </w:tc>
        <w:tc>
          <w:tcPr>
            <w:tcW w:type="dxa" w:w="1440"/>
            <w:noWrap/>
          </w:tcPr>
          <w:p>
            <w:pPr>
              <w:jc w:val="left"/>
            </w:pPr>
            <w:r>
              <w:t>152,8 m³</w:t>
            </w:r>
          </w:p>
          <w:p>
            <w:pPr>
              <w:jc w:val="left"/>
            </w:pPr>
            <w:r>
              <w:t>(30 días, 100%)</w:t>
            </w:r>
          </w:p>
        </w:tc>
        <w:tc>
          <w:tcPr>
            <w:tcW w:type="dxa" w:w="1440"/>
            <w:noWrap/>
          </w:tcPr>
          <w:p>
            <w:pPr>
              <w:jc w:val="left"/>
            </w:pPr>
            <w:r>
              <w:t>524 m³</w:t>
            </w:r>
          </w:p>
          <w:p>
            <w:pPr>
              <w:jc w:val="left"/>
            </w:pPr>
            <w:r>
              <w:t>(78,8%)</w:t>
            </w:r>
          </w:p>
        </w:tc>
      </w:tr>
      <w:tr>
        <w:tc>
          <w:tcPr>
            <w:tcW w:type="dxa" w:w="1440"/>
            <w:noWrap/>
          </w:tcPr>
          <w:p>
            <w:r>
              <w:t>6</w:t>
            </w:r>
          </w:p>
        </w:tc>
        <w:tc>
          <w:tcPr>
            <w:tcW w:type="dxa" w:w="1440"/>
            <w:noWrap/>
          </w:tcPr>
          <w:p>
            <w:r>
              <w:t>Esc. Padre Hurtado</w:t>
            </w:r>
          </w:p>
        </w:tc>
        <w:tc>
          <w:tcPr>
            <w:tcW w:type="dxa" w:w="1440"/>
            <w:noWrap/>
          </w:tcPr>
          <w:p>
            <w:r>
              <w:t>539,7</w:t>
            </w:r>
          </w:p>
        </w:tc>
        <w:tc>
          <w:tcPr>
            <w:tcW w:type="dxa" w:w="1440"/>
            <w:noWrap/>
          </w:tcPr>
          <w:p>
            <w:r>
              <w:t>24</w:t>
            </w:r>
          </w:p>
        </w:tc>
        <w:tc>
          <w:tcPr>
            <w:tcW w:type="dxa" w:w="1440"/>
            <w:noWrap/>
          </w:tcPr>
          <w:p>
            <w:pPr>
              <w:jc w:val="left"/>
            </w:pPr>
            <w:r>
              <w:t>156,2 m³</w:t>
            </w:r>
          </w:p>
          <w:p>
            <w:pPr>
              <w:jc w:val="left"/>
            </w:pPr>
            <w:r>
              <w:t>(30 días, 100%)</w:t>
            </w:r>
          </w:p>
        </w:tc>
        <w:tc>
          <w:tcPr>
            <w:tcW w:type="dxa" w:w="1440"/>
            <w:noWrap/>
          </w:tcPr>
          <w:p>
            <w:pPr>
              <w:jc w:val="left"/>
            </w:pPr>
            <w:r>
              <w:t>535,7 m³</w:t>
            </w:r>
          </w:p>
          <w:p>
            <w:pPr>
              <w:jc w:val="left"/>
            </w:pPr>
            <w:r>
              <w:t>(99,2%)</w:t>
            </w:r>
          </w:p>
        </w:tc>
      </w:tr>
      <w:tr>
        <w:tc>
          <w:tcPr>
            <w:tcW w:type="dxa" w:w="1440"/>
            <w:noWrap/>
          </w:tcPr>
          <w:p>
            <w:r>
              <w:t>7</w:t>
            </w:r>
          </w:p>
        </w:tc>
        <w:tc>
          <w:tcPr>
            <w:tcW w:type="dxa" w:w="1440"/>
            <w:noWrap/>
          </w:tcPr>
          <w:p>
            <w:r>
              <w:t>Esc. Juan Mackenna</w:t>
            </w:r>
          </w:p>
        </w:tc>
        <w:tc>
          <w:tcPr>
            <w:tcW w:type="dxa" w:w="1440"/>
            <w:noWrap/>
          </w:tcPr>
          <w:p>
            <w:r>
              <w:t>425,3</w:t>
            </w:r>
          </w:p>
        </w:tc>
        <w:tc>
          <w:tcPr>
            <w:tcW w:type="dxa" w:w="1440"/>
            <w:noWrap/>
          </w:tcPr>
          <w:p>
            <w:r>
              <w:t>15</w:t>
            </w:r>
          </w:p>
        </w:tc>
        <w:tc>
          <w:tcPr>
            <w:tcW w:type="dxa" w:w="1440"/>
            <w:noWrap/>
          </w:tcPr>
          <w:p>
            <w:pPr>
              <w:jc w:val="left"/>
            </w:pPr>
            <w:r>
              <w:t>93,4 m³</w:t>
            </w:r>
          </w:p>
          <w:p>
            <w:pPr>
              <w:jc w:val="left"/>
            </w:pPr>
            <w:r>
              <w:t>(30 días, 100%)</w:t>
            </w:r>
          </w:p>
        </w:tc>
        <w:tc>
          <w:tcPr>
            <w:tcW w:type="dxa" w:w="1440"/>
            <w:noWrap/>
          </w:tcPr>
          <w:p>
            <w:pPr>
              <w:jc w:val="left"/>
            </w:pPr>
            <w:r>
              <w:t>320,1 m³</w:t>
            </w:r>
          </w:p>
          <w:p>
            <w:pPr>
              <w:jc w:val="left"/>
            </w:pPr>
            <w:r>
              <w:t>(75,3%)</w:t>
            </w:r>
          </w:p>
        </w:tc>
      </w:tr>
      <w:tr>
        <w:tc>
          <w:tcPr>
            <w:tcW w:type="dxa" w:w="1440"/>
            <w:noWrap/>
          </w:tcPr>
          <w:p>
            <w:r>
              <w:t>8</w:t>
            </w:r>
          </w:p>
        </w:tc>
        <w:tc>
          <w:tcPr>
            <w:tcW w:type="dxa" w:w="1440"/>
            <w:noWrap/>
          </w:tcPr>
          <w:p>
            <w:r>
              <w:t>Esc. Nonato Coo</w:t>
            </w:r>
          </w:p>
        </w:tc>
        <w:tc>
          <w:tcPr>
            <w:tcW w:type="dxa" w:w="1440"/>
            <w:noWrap/>
          </w:tcPr>
          <w:p>
            <w:r>
              <w:t>277,9</w:t>
            </w:r>
          </w:p>
        </w:tc>
        <w:tc>
          <w:tcPr>
            <w:tcW w:type="dxa" w:w="1440"/>
            <w:noWrap/>
          </w:tcPr>
          <w:p>
            <w:r>
              <w:t>3</w:t>
            </w:r>
          </w:p>
        </w:tc>
        <w:tc>
          <w:tcPr>
            <w:tcW w:type="dxa" w:w="1440"/>
            <w:noWrap/>
          </w:tcPr>
          <w:p>
            <w:pPr>
              <w:jc w:val="left"/>
            </w:pPr>
            <w:r>
              <w:t>38,7 m³</w:t>
            </w:r>
          </w:p>
          <w:p>
            <w:pPr>
              <w:jc w:val="left"/>
            </w:pPr>
            <w:r>
              <w:t>(26 días, 86,7%)</w:t>
            </w:r>
          </w:p>
        </w:tc>
        <w:tc>
          <w:tcPr>
            <w:tcW w:type="dxa" w:w="1440"/>
            <w:noWrap/>
          </w:tcPr>
          <w:p>
            <w:pPr>
              <w:jc w:val="left"/>
            </w:pPr>
            <w:r>
              <w:t>132,6 m³</w:t>
            </w:r>
          </w:p>
          <w:p>
            <w:pPr>
              <w:jc w:val="left"/>
            </w:pPr>
            <w:r>
              <w:t>(47,7%)</w:t>
            </w:r>
          </w:p>
        </w:tc>
      </w:tr>
      <w:tr>
        <w:tc>
          <w:tcPr>
            <w:tcW w:type="dxa" w:w="1440"/>
            <w:noWrap/>
          </w:tcPr>
          <w:p>
            <w:r>
              <w:t>9</w:t>
            </w:r>
          </w:p>
        </w:tc>
        <w:tc>
          <w:tcPr>
            <w:tcW w:type="dxa" w:w="1440"/>
            <w:noWrap/>
          </w:tcPr>
          <w:p>
            <w:r>
              <w:t>Esc. Los Andes</w:t>
            </w:r>
          </w:p>
        </w:tc>
        <w:tc>
          <w:tcPr>
            <w:tcW w:type="dxa" w:w="1440"/>
            <w:noWrap/>
          </w:tcPr>
          <w:p>
            <w:r>
              <w:t>152,9</w:t>
            </w:r>
          </w:p>
        </w:tc>
        <w:tc>
          <w:tcPr>
            <w:tcW w:type="dxa" w:w="1440"/>
            <w:noWrap/>
          </w:tcPr>
          <w:p>
            <w:r>
              <w:t>12</w:t>
            </w:r>
          </w:p>
        </w:tc>
        <w:tc>
          <w:tcPr>
            <w:tcW w:type="dxa" w:w="1440"/>
            <w:noWrap/>
          </w:tcPr>
          <w:p>
            <w:pPr>
              <w:jc w:val="left"/>
            </w:pPr>
            <w:r>
              <w:t>42,1 m³</w:t>
            </w:r>
          </w:p>
          <w:p>
            <w:pPr>
              <w:jc w:val="left"/>
            </w:pPr>
            <w:r>
              <w:t>(20 días, 76,9%)</w:t>
            </w:r>
          </w:p>
        </w:tc>
        <w:tc>
          <w:tcPr>
            <w:tcW w:type="dxa" w:w="1440"/>
            <w:noWrap/>
          </w:tcPr>
          <w:p>
            <w:pPr>
              <w:jc w:val="left"/>
            </w:pPr>
            <w:r>
              <w:t>144,4 m³</w:t>
            </w:r>
          </w:p>
          <w:p>
            <w:pPr>
              <w:jc w:val="left"/>
            </w:pPr>
            <w:r>
              <w:t>(94,5%)</w:t>
            </w:r>
          </w:p>
        </w:tc>
      </w:tr>
      <w:tr>
        <w:tc>
          <w:tcPr>
            <w:tcW w:type="dxa" w:w="1440"/>
            <w:noWrap/>
          </w:tcPr>
          <w:p>
            <w:r>
              <w:t>10</w:t>
            </w:r>
          </w:p>
        </w:tc>
        <w:tc>
          <w:tcPr>
            <w:tcW w:type="dxa" w:w="1440"/>
            <w:noWrap/>
          </w:tcPr>
          <w:p>
            <w:r>
              <w:t>Esc. Gabriela</w:t>
            </w:r>
          </w:p>
        </w:tc>
        <w:tc>
          <w:tcPr>
            <w:tcW w:type="dxa" w:w="1440"/>
            <w:noWrap/>
          </w:tcPr>
          <w:p>
            <w:r>
              <w:t>121,7</w:t>
            </w:r>
          </w:p>
        </w:tc>
        <w:tc>
          <w:tcPr>
            <w:tcW w:type="dxa" w:w="1440"/>
            <w:noWrap/>
          </w:tcPr>
          <w:p>
            <w:r>
              <w:t>13</w:t>
            </w:r>
          </w:p>
        </w:tc>
        <w:tc>
          <w:tcPr>
            <w:tcW w:type="dxa" w:w="1440"/>
            <w:noWrap/>
          </w:tcPr>
          <w:p>
            <w:pPr>
              <w:jc w:val="left"/>
            </w:pPr>
            <w:r>
              <w:t>7,6 m³</w:t>
            </w:r>
          </w:p>
          <w:p>
            <w:pPr>
              <w:jc w:val="left"/>
            </w:pPr>
            <w:r>
              <w:t>(21 días, 70%)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Villa Independencia</w:t>
            </w:r>
          </w:p>
        </w:tc>
        <w:tc>
          <w:tcPr>
            <w:tcW w:type="dxa" w:w="1440"/>
            <w:noWrap/>
          </w:tcPr>
          <w:p>
            <w:r>
              <w:t>117,4</w:t>
            </w:r>
          </w:p>
        </w:tc>
        <w:tc>
          <w:tcPr>
            <w:tcW w:type="dxa" w:w="1440"/>
            <w:noWrap/>
          </w:tcPr>
          <w:p>
            <w:r>
              <w:t>0</w:t>
            </w:r>
          </w:p>
        </w:tc>
        <w:tc>
          <w:tcPr>
            <w:tcW w:type="dxa" w:w="1440"/>
            <w:noWrap/>
          </w:tcPr>
          <w:p>
            <w:pPr>
              <w:jc w:val="left"/>
            </w:pPr>
            <w:r>
              <w:t>30 m³</w:t>
            </w:r>
          </w:p>
          <w:p>
            <w:pPr>
              <w:jc w:val="left"/>
            </w:pPr>
            <w:r>
              <w:t>(30 días, 100%)</w:t>
            </w:r>
          </w:p>
        </w:tc>
        <w:tc>
          <w:tcPr>
            <w:tcW w:type="dxa" w:w="1440"/>
            <w:noWrap/>
          </w:tcPr>
          <w:p>
            <w:pPr>
              <w:jc w:val="left"/>
            </w:pPr>
            <w:r>
              <w:t>103 m³</w:t>
            </w:r>
          </w:p>
          <w:p>
            <w:pPr>
              <w:jc w:val="left"/>
            </w:pPr>
            <w:r>
              <w:t>(87,7%)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6.351,7</w:t>
            </w:r>
          </w:p>
        </w:tc>
        <w:tc>
          <w:tcPr>
            <w:tcW w:type="dxa" w:w="1440"/>
            <w:noWrap/>
            <w:shd w:val="clear" w:fill="FFE6E6"/>
          </w:tcPr>
          <w:p>
            <w:pPr>
              <w:jc w:val="left"/>
            </w:pPr>
            <w:r>
              <w:rPr>
                <w:b/>
                <w:color w:val="FF0000"/>
              </w:rPr>
              <w:t>146</w:t>
            </w:r>
          </w:p>
        </w:tc>
        <w:tc>
          <w:tcPr>
            <w:tcW w:type="dxa" w:w="1440"/>
            <w:noWrap/>
            <w:shd w:val="clear" w:fill="FFE6E6"/>
          </w:tcPr>
          <w:p>
            <w:pPr>
              <w:jc w:val="left"/>
            </w:pPr>
            <w:r>
              <w:rPr>
                <w:b/>
                <w:color w:val="FF0000"/>
              </w:rPr>
              <w:t>1.649,7 m³</w:t>
            </w:r>
          </w:p>
        </w:tc>
        <w:tc>
          <w:tcPr>
            <w:tcW w:type="dxa" w:w="1440"/>
            <w:noWrap/>
            <w:shd w:val="clear" w:fill="FFE6E6"/>
          </w:tcPr>
          <w:p>
            <w:pPr>
              <w:jc w:val="left"/>
            </w:pPr>
            <w:r>
              <w:rPr>
                <w:b/>
                <w:color w:val="FF0000"/>
              </w:rPr>
              <w:t>5.630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ESCUELA ANDES DEL SUR (30-04-26):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Escuela Andes del SUR registró 21 alerta(s) durante 17 día(s) del periodo analizado. La periodicidad de las alertas es regular (más del 50% de los días). Se identificó una proyección de filtración de 1.137,5 m³ ($1.444.599), lo que indica un patrón de fuga constante durante el periodo.</w:t>
      </w:r>
    </w:p>
    <w:p/>
    <w:p>
      <w:pPr>
        <w:keepNext/>
        <w:widowControl/>
        <w:spacing w:after="60"/>
      </w:pPr>
      <w:r>
        <w:rPr>
          <w:b/>
          <w:color w:val="003366"/>
        </w:rPr>
        <w:t>DÍA CON MAYOR CONSUMO NOCTURNO - ESC. PADRE HURTADO (28-04-26):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Esc. Padre Hurtado registró 24 alerta(s) durante 18 día(s) del periodo analizado. La periodicidad de las alertas es regular (más del 50% de los días). Se identificó una proyección de filtración de 535,7 m³ ($680.277), lo que indica un patrón de fuga constante durante el periodo.</w:t>
      </w:r>
    </w:p>
    <w:p/>
    <w:p>
      <w:pPr>
        <w:keepNext/>
        <w:widowControl/>
        <w:spacing w:after="60"/>
      </w:pPr>
      <w:r>
        <w:rPr>
          <w:b/>
          <w:color w:val="003366"/>
        </w:rPr>
        <w:t>DÍA CON MAYOR CONSUMO NOCTURNO - COLEGIO MAIPO (15-04-26):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10_04.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Colegio Maipo registró 21 alerta(s) durante 16 día(s) del periodo analizado. La periodicidad de las alertas es regular (más del 50% de los días). Se identificó una proyección de filtración de 524 m³ ($665.485), lo que indica un patrón de fuga constante durante el periodo.</w:t>
      </w:r>
    </w:p>
    <w:p/>
    <w:p>
      <w:pPr>
        <w:keepNext/>
        <w:widowControl/>
        <w:spacing w:after="60"/>
      </w:pPr>
      <w:r>
        <w:rPr>
          <w:b/>
          <w:color w:val="003366"/>
        </w:rPr>
        <w:t>DÍA CON MAYOR CONSUMO NOCTURNO - ESC. LUIS MATTE LARRAÍN (09-04-26):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Esc. Luis Matte Larraín registró 9 alerta(s) durante 9 día(s) del periodo analizado. La periodicidad de las alertas es intermitente (más del 20% de los días). Se identificó una proyección de filtración de 747,3 m³ ($949.081), lo que indica un patrón de fuga constante durante el periodo.</w:t>
      </w:r>
    </w:p>
    <w:p/>
    <w:p>
      <w:pPr>
        <w:keepNext/>
        <w:widowControl/>
        <w:spacing w:after="60"/>
      </w:pPr>
      <w:r>
        <w:rPr>
          <w:b/>
          <w:color w:val="003366"/>
        </w:rPr>
        <w:t>DÍA CON MAYOR CONSUMO NOCTURNO - ESC. GABRIELA (25-04-26):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Esc. Gabriela registró 13 alerta(s) durante 12 día(s) del periodo analizado. La periodicidad de las alertas es intermitente (más del 20% de los días).</w:t>
      </w:r>
    </w:p>
    <w:p/>
    <w:p>
      <w:pPr>
        <w:keepNext/>
        <w:widowControl/>
        <w:spacing w:after="60"/>
      </w:pPr>
      <w:r>
        <w:rPr>
          <w:b/>
          <w:color w:val="003366"/>
        </w:rPr>
        <w:t>DÍA CON MAYOR CONSUMO NOCTURNO - ESC. JUAN MACKENNA (21-04-26):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7.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Esc. Juan Mackenna registró 15 alerta(s) durante 12 día(s) del periodo analizado. La periodicidad de las alertas es intermitente (más del 20% de los días). Se identificó una proyección de filtración de 320,1 m³ ($406.583), lo que indica un patrón de fuga constante durante el periodo.</w:t>
      </w:r>
    </w:p>
    <w:p/>
    <w:p>
      <w:pPr>
        <w:keepNext/>
        <w:widowControl/>
        <w:spacing w:after="60"/>
      </w:pPr>
      <w:r>
        <w:rPr>
          <w:b/>
          <w:color w:val="003366"/>
        </w:rPr>
        <w:t>DÍA CON MAYOR CONSUMO NOCTURNO - LICEO CHILOÉ (21-04-26):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8.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Liceo Chiloé registró 1 alerta(s) durante 1 día(s) del periodo analizado. La periodicidad de las alertas es puntual (menos del 20% de los días). Se identificó una proyección de filtración de 1.245,6 m³ ($1.581.903), lo que indica un patrón de fuga constante durante el periodo.</w:t>
      </w:r>
    </w:p>
    <w:p/>
    <w:p>
      <w:pPr>
        <w:keepNext/>
        <w:widowControl/>
        <w:spacing w:after="60"/>
      </w:pPr>
      <w:r>
        <w:rPr>
          <w:b/>
          <w:color w:val="003366"/>
        </w:rPr>
        <w:t>DÍA CON MAYOR CONSUMO NOCTURNO - ESC. LOS ANDES (21-04-26):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09.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Los Andes registró 12 alerta(s) durante 9 día(s) del periodo analizado. La periodicidad de las alertas es intermitente (más del 20% de los días). Se identificó una proyección de filtración de 144,4 m³ ($183.417), lo que indica un patrón de fuga constante durante el periodo.</w:t>
      </w:r>
    </w:p>
    <w:p/>
    <w:p>
      <w:pPr>
        <w:keepNext/>
        <w:widowControl/>
        <w:spacing w:after="60"/>
      </w:pPr>
      <w:r>
        <w:rPr>
          <w:b/>
          <w:color w:val="003366"/>
        </w:rPr>
        <w:t>DÍA CON MAYOR CONSUMO NOCTURNO - CONSOLIDADA (23-04-26):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10_10.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Consolidada registró 27 alerta(s) durante 17 día(s) del periodo analizado. La periodicidad de las alertas es regular (más del 50% de los días). Se identificó una proyección de filtración de 739,8 m³ ($939.608), lo que indica un patrón de fuga constante durante el periodo.</w:t>
      </w:r>
    </w:p>
    <w:p/>
    <w:p>
      <w:pPr>
        <w:keepNext/>
        <w:widowControl/>
        <w:spacing w:after="60"/>
      </w:pPr>
      <w:r>
        <w:rPr>
          <w:b/>
          <w:color w:val="003366"/>
        </w:rPr>
        <w:t>DÍA CON MAYOR CONSUMO NOCTURNO - ESC. NONATO COO (27-04-26):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10_11.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Esc. Nonato Coo registró 3 alerta(s) durante 3 día(s) del periodo analizado. La periodicidad de las alertas es puntual (menos del 20% de los días). Se identificó una proyección de filtración de 132,6 m³ ($168.384),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Liceo Chiloé, Escuela Andes del SUR, Consolidada, Esc. Luis Matte Larraín, Colegio Maipo, Esc. Padre Hurtado, Esc. Juan Mackenna, Esc. Nonato Coo, Esc. Los Andes y Esc. Villa Independencia.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