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Corporación Puente Alto</w:t>
      </w:r>
    </w:p>
    <w:p>
      <w:pPr>
        <w:jc w:val="center"/>
      </w:pPr>
      <w:r>
        <w:t>MONITOREO WES</w:t>
        <w:br/>
        <w:t>Análisis consolidado de 11 puntos de monitoreo</w:t>
        <w:br/>
        <w:t>Rango: 01-05-26 - 31-05-26</w:t>
        <w:br/>
        <w:t>Generado: 28-05-26 18:01</w:t>
      </w:r>
    </w:p>
    <w:p>
      <w:pPr>
        <w:pStyle w:val="Heading1"/>
        <w:keepNext/>
        <w:widowControl/>
        <w:spacing w:after="60"/>
      </w:pPr>
      <w:r>
        <w:rPr>
          <w:b/>
          <w:color w:val="003366"/>
        </w:rPr>
        <w:t>RESUMEN EJECUTIVO AGREGADO</w:t>
      </w:r>
    </w:p>
    <w:p>
      <w:r>
        <w:t>Puntos de monitoreo analizados: 11.</w:t>
        <w:br/>
      </w:r>
      <w:r>
        <w:t>Consumo total agregado: 9.307 m³.</w:t>
        <w:br/>
      </w:r>
      <w:r>
        <w:t>Consumo promedio por punto: 846,1 m³.</w:t>
        <w:br/>
      </w:r>
      <w:r>
        <w:t>Total de alertas registradas: 115.</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Escuela Andes del SUR, con un total de 1.812,2 m³ durante el periodo analizado. Este valor representa un 114,2% por encima del promedio (846,1 m³ por punto), indicando una demanda significativamente superior a la media. Por otro lado, el punto con menor consumo es Esc. Gabriela, con un total de 194,2 m³. Este valor representa un 77% por debajo del promedio, mostrando una demanda significativamente inferior. La diferencia entre el punto de mayor y menor consumo es considerable, siendo el consumo máximo aproximadamente 9,3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432"/>
        <w:gridCol w:w="1074"/>
        <w:gridCol w:w="955"/>
        <w:gridCol w:w="1492"/>
        <w:gridCol w:w="143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Escuela Andes del SUR</w:t>
            </w:r>
          </w:p>
        </w:tc>
        <w:tc>
          <w:tcPr>
            <w:tcW w:type="dxa" w:w="1440"/>
            <w:noWrap/>
          </w:tcPr>
          <w:p>
            <w:r>
              <w:t>1.812,2</w:t>
            </w:r>
          </w:p>
        </w:tc>
        <w:tc>
          <w:tcPr>
            <w:tcW w:type="dxa" w:w="1440"/>
            <w:noWrap/>
          </w:tcPr>
          <w:p>
            <w:r>
              <w:t>0</w:t>
            </w:r>
          </w:p>
        </w:tc>
        <w:tc>
          <w:tcPr>
            <w:tcW w:type="dxa" w:w="1440"/>
            <w:noWrap/>
          </w:tcPr>
          <w:p>
            <w:pPr>
              <w:jc w:val="left"/>
            </w:pPr>
            <w:r>
              <w:t>481,8 m³</w:t>
            </w:r>
          </w:p>
          <w:p>
            <w:pPr>
              <w:jc w:val="left"/>
            </w:pPr>
            <w:r>
              <w:t>(24 días, 100%)</w:t>
            </w:r>
          </w:p>
        </w:tc>
        <w:tc>
          <w:tcPr>
            <w:tcW w:type="dxa" w:w="1440"/>
            <w:noWrap/>
          </w:tcPr>
          <w:p>
            <w:pPr>
              <w:jc w:val="left"/>
            </w:pPr>
            <w:r>
              <w:t>1.651,8 m³</w:t>
            </w:r>
          </w:p>
          <w:p>
            <w:pPr>
              <w:jc w:val="left"/>
            </w:pPr>
            <w:r>
              <w:t>(91,1%)</w:t>
            </w:r>
          </w:p>
        </w:tc>
      </w:tr>
      <w:tr>
        <w:tc>
          <w:tcPr>
            <w:tcW w:type="dxa" w:w="1440"/>
            <w:noWrap/>
          </w:tcPr>
          <w:p>
            <w:r>
              <w:t>2</w:t>
            </w:r>
          </w:p>
        </w:tc>
        <w:tc>
          <w:tcPr>
            <w:tcW w:type="dxa" w:w="1440"/>
            <w:noWrap/>
          </w:tcPr>
          <w:p>
            <w:r>
              <w:t>Consolidada</w:t>
            </w:r>
          </w:p>
        </w:tc>
        <w:tc>
          <w:tcPr>
            <w:tcW w:type="dxa" w:w="1440"/>
            <w:noWrap/>
          </w:tcPr>
          <w:p>
            <w:r>
              <w:t>1.597,2</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3</w:t>
            </w:r>
          </w:p>
        </w:tc>
        <w:tc>
          <w:tcPr>
            <w:tcW w:type="dxa" w:w="1440"/>
            <w:noWrap/>
          </w:tcPr>
          <w:p>
            <w:r>
              <w:t>Liceo Chiloé</w:t>
            </w:r>
          </w:p>
        </w:tc>
        <w:tc>
          <w:tcPr>
            <w:tcW w:type="dxa" w:w="1440"/>
            <w:noWrap/>
          </w:tcPr>
          <w:p>
            <w:r>
              <w:t>1.512,6</w:t>
            </w:r>
          </w:p>
        </w:tc>
        <w:tc>
          <w:tcPr>
            <w:tcW w:type="dxa" w:w="1440"/>
            <w:noWrap/>
          </w:tcPr>
          <w:p>
            <w:r>
              <w:t>6</w:t>
            </w:r>
          </w:p>
        </w:tc>
        <w:tc>
          <w:tcPr>
            <w:tcW w:type="dxa" w:w="1440"/>
            <w:noWrap/>
          </w:tcPr>
          <w:p>
            <w:pPr>
              <w:jc w:val="left"/>
            </w:pPr>
            <w:r>
              <w:t>366,3 m³</w:t>
            </w:r>
          </w:p>
          <w:p>
            <w:pPr>
              <w:jc w:val="left"/>
            </w:pPr>
            <w:r>
              <w:t>(16 días, 100%)</w:t>
            </w:r>
          </w:p>
        </w:tc>
        <w:tc>
          <w:tcPr>
            <w:tcW w:type="dxa" w:w="1440"/>
            <w:noWrap/>
          </w:tcPr>
          <w:p>
            <w:pPr>
              <w:jc w:val="left"/>
            </w:pPr>
            <w:r>
              <w:t>1.255,9 m³</w:t>
            </w:r>
          </w:p>
          <w:p>
            <w:pPr>
              <w:jc w:val="left"/>
            </w:pPr>
            <w:r>
              <w:t>(83%)</w:t>
            </w:r>
          </w:p>
        </w:tc>
      </w:tr>
      <w:tr>
        <w:tc>
          <w:tcPr>
            <w:tcW w:type="dxa" w:w="1440"/>
            <w:noWrap/>
          </w:tcPr>
          <w:p>
            <w:r>
              <w:t>4</w:t>
            </w:r>
          </w:p>
        </w:tc>
        <w:tc>
          <w:tcPr>
            <w:tcW w:type="dxa" w:w="1440"/>
            <w:noWrap/>
          </w:tcPr>
          <w:p>
            <w:r>
              <w:t>Esc. Luis Matte Larraín</w:t>
            </w:r>
          </w:p>
        </w:tc>
        <w:tc>
          <w:tcPr>
            <w:tcW w:type="dxa" w:w="1440"/>
            <w:noWrap/>
          </w:tcPr>
          <w:p>
            <w:r>
              <w:t>1.207,2</w:t>
            </w:r>
          </w:p>
        </w:tc>
        <w:tc>
          <w:tcPr>
            <w:tcW w:type="dxa" w:w="1440"/>
            <w:noWrap/>
          </w:tcPr>
          <w:p>
            <w:r>
              <w:t>7</w:t>
            </w:r>
          </w:p>
        </w:tc>
        <w:tc>
          <w:tcPr>
            <w:tcW w:type="dxa" w:w="1440"/>
            <w:noWrap/>
          </w:tcPr>
          <w:p>
            <w:pPr>
              <w:jc w:val="left"/>
            </w:pPr>
            <w:r>
              <w:t>364,7 m³</w:t>
            </w:r>
          </w:p>
          <w:p>
            <w:pPr>
              <w:jc w:val="left"/>
            </w:pPr>
            <w:r>
              <w:t>(28 días, 100%)</w:t>
            </w:r>
          </w:p>
        </w:tc>
        <w:tc>
          <w:tcPr>
            <w:tcW w:type="dxa" w:w="1440"/>
            <w:noWrap/>
          </w:tcPr>
          <w:p>
            <w:pPr>
              <w:jc w:val="left"/>
            </w:pPr>
            <w:r>
              <w:t>1.250,4 m³</w:t>
            </w:r>
          </w:p>
          <w:p>
            <w:pPr>
              <w:jc w:val="left"/>
            </w:pPr>
            <w:r>
              <w:t>(103,6%)</w:t>
            </w:r>
          </w:p>
        </w:tc>
      </w:tr>
      <w:tr>
        <w:tc>
          <w:tcPr>
            <w:tcW w:type="dxa" w:w="1440"/>
            <w:noWrap/>
          </w:tcPr>
          <w:p>
            <w:r>
              <w:t>5</w:t>
            </w:r>
          </w:p>
        </w:tc>
        <w:tc>
          <w:tcPr>
            <w:tcW w:type="dxa" w:w="1440"/>
            <w:noWrap/>
          </w:tcPr>
          <w:p>
            <w:r>
              <w:t>Esc. Villa Independencia</w:t>
            </w:r>
          </w:p>
        </w:tc>
        <w:tc>
          <w:tcPr>
            <w:tcW w:type="dxa" w:w="1440"/>
            <w:noWrap/>
          </w:tcPr>
          <w:p>
            <w:r>
              <w:t>894</w:t>
            </w:r>
          </w:p>
        </w:tc>
        <w:tc>
          <w:tcPr>
            <w:tcW w:type="dxa" w:w="1440"/>
            <w:noWrap/>
          </w:tcPr>
          <w:p>
            <w:r>
              <w:t>0</w:t>
            </w:r>
          </w:p>
        </w:tc>
        <w:tc>
          <w:tcPr>
            <w:tcW w:type="dxa" w:w="1440"/>
            <w:noWrap/>
          </w:tcPr>
          <w:p>
            <w:pPr>
              <w:jc w:val="left"/>
            </w:pPr>
            <w:r>
              <w:t>223,6 m³</w:t>
            </w:r>
          </w:p>
          <w:p>
            <w:pPr>
              <w:jc w:val="left"/>
            </w:pPr>
            <w:r>
              <w:t>(28 días, 100%)</w:t>
            </w:r>
          </w:p>
        </w:tc>
        <w:tc>
          <w:tcPr>
            <w:tcW w:type="dxa" w:w="1440"/>
            <w:noWrap/>
          </w:tcPr>
          <w:p>
            <w:pPr>
              <w:jc w:val="left"/>
            </w:pPr>
            <w:r>
              <w:t>766,7 m³</w:t>
            </w:r>
          </w:p>
          <w:p>
            <w:pPr>
              <w:jc w:val="left"/>
            </w:pPr>
            <w:r>
              <w:t>(85,8%)</w:t>
            </w:r>
          </w:p>
        </w:tc>
      </w:tr>
      <w:tr>
        <w:tc>
          <w:tcPr>
            <w:tcW w:type="dxa" w:w="1440"/>
            <w:noWrap/>
          </w:tcPr>
          <w:p>
            <w:r>
              <w:t>6</w:t>
            </w:r>
          </w:p>
        </w:tc>
        <w:tc>
          <w:tcPr>
            <w:tcW w:type="dxa" w:w="1440"/>
            <w:noWrap/>
          </w:tcPr>
          <w:p>
            <w:r>
              <w:t>Colegio Maipo</w:t>
            </w:r>
          </w:p>
        </w:tc>
        <w:tc>
          <w:tcPr>
            <w:tcW w:type="dxa" w:w="1440"/>
            <w:noWrap/>
          </w:tcPr>
          <w:p>
            <w:r>
              <w:t>496,4</w:t>
            </w:r>
          </w:p>
        </w:tc>
        <w:tc>
          <w:tcPr>
            <w:tcW w:type="dxa" w:w="1440"/>
            <w:noWrap/>
          </w:tcPr>
          <w:p>
            <w:r>
              <w:t>28</w:t>
            </w:r>
          </w:p>
        </w:tc>
        <w:tc>
          <w:tcPr>
            <w:tcW w:type="dxa" w:w="1440"/>
            <w:noWrap/>
          </w:tcPr>
          <w:p>
            <w:pPr>
              <w:jc w:val="left"/>
            </w:pPr>
            <w:r>
              <w:t>110,6 m³</w:t>
            </w:r>
          </w:p>
          <w:p>
            <w:pPr>
              <w:jc w:val="left"/>
            </w:pPr>
            <w:r>
              <w:t>(28 días, 100%)</w:t>
            </w:r>
          </w:p>
        </w:tc>
        <w:tc>
          <w:tcPr>
            <w:tcW w:type="dxa" w:w="1440"/>
            <w:noWrap/>
          </w:tcPr>
          <w:p>
            <w:pPr>
              <w:jc w:val="left"/>
            </w:pPr>
            <w:r>
              <w:t>379,1 m³</w:t>
            </w:r>
          </w:p>
          <w:p>
            <w:pPr>
              <w:jc w:val="left"/>
            </w:pPr>
            <w:r>
              <w:t>(76,4%)</w:t>
            </w:r>
          </w:p>
        </w:tc>
      </w:tr>
      <w:tr>
        <w:tc>
          <w:tcPr>
            <w:tcW w:type="dxa" w:w="1440"/>
            <w:noWrap/>
          </w:tcPr>
          <w:p>
            <w:r>
              <w:t>7</w:t>
            </w:r>
          </w:p>
        </w:tc>
        <w:tc>
          <w:tcPr>
            <w:tcW w:type="dxa" w:w="1440"/>
            <w:noWrap/>
          </w:tcPr>
          <w:p>
            <w:r>
              <w:t>Esc. Padre Hurtado</w:t>
            </w:r>
          </w:p>
        </w:tc>
        <w:tc>
          <w:tcPr>
            <w:tcW w:type="dxa" w:w="1440"/>
            <w:noWrap/>
          </w:tcPr>
          <w:p>
            <w:r>
              <w:t>486,4</w:t>
            </w:r>
          </w:p>
        </w:tc>
        <w:tc>
          <w:tcPr>
            <w:tcW w:type="dxa" w:w="1440"/>
            <w:noWrap/>
          </w:tcPr>
          <w:p>
            <w:r>
              <w:t>29</w:t>
            </w:r>
          </w:p>
        </w:tc>
        <w:tc>
          <w:tcPr>
            <w:tcW w:type="dxa" w:w="1440"/>
            <w:noWrap/>
          </w:tcPr>
          <w:p>
            <w:pPr>
              <w:jc w:val="left"/>
            </w:pPr>
            <w:r>
              <w:t>138,4 m³</w:t>
            </w:r>
          </w:p>
          <w:p>
            <w:pPr>
              <w:jc w:val="left"/>
            </w:pPr>
            <w:r>
              <w:t>(28 días, 100%)</w:t>
            </w:r>
          </w:p>
        </w:tc>
        <w:tc>
          <w:tcPr>
            <w:tcW w:type="dxa" w:w="1440"/>
            <w:noWrap/>
          </w:tcPr>
          <w:p>
            <w:pPr>
              <w:jc w:val="left"/>
            </w:pPr>
            <w:r>
              <w:t>474,5 m³</w:t>
            </w:r>
          </w:p>
          <w:p>
            <w:pPr>
              <w:jc w:val="left"/>
            </w:pPr>
            <w:r>
              <w:t>(97,6%)</w:t>
            </w:r>
          </w:p>
        </w:tc>
      </w:tr>
      <w:tr>
        <w:tc>
          <w:tcPr>
            <w:tcW w:type="dxa" w:w="1440"/>
            <w:noWrap/>
          </w:tcPr>
          <w:p>
            <w:r>
              <w:t>8</w:t>
            </w:r>
          </w:p>
        </w:tc>
        <w:tc>
          <w:tcPr>
            <w:tcW w:type="dxa" w:w="1440"/>
            <w:noWrap/>
          </w:tcPr>
          <w:p>
            <w:r>
              <w:t>Esc. Los Andes</w:t>
            </w:r>
          </w:p>
        </w:tc>
        <w:tc>
          <w:tcPr>
            <w:tcW w:type="dxa" w:w="1440"/>
            <w:noWrap/>
          </w:tcPr>
          <w:p>
            <w:r>
              <w:t>459,4</w:t>
            </w:r>
          </w:p>
        </w:tc>
        <w:tc>
          <w:tcPr>
            <w:tcW w:type="dxa" w:w="1440"/>
            <w:noWrap/>
          </w:tcPr>
          <w:p>
            <w:r>
              <w:t>12</w:t>
            </w:r>
          </w:p>
        </w:tc>
        <w:tc>
          <w:tcPr>
            <w:tcW w:type="dxa" w:w="1440"/>
            <w:noWrap/>
          </w:tcPr>
          <w:p>
            <w:pPr>
              <w:jc w:val="left"/>
            </w:pPr>
            <w:r>
              <w:t>293,9 m³</w:t>
            </w:r>
          </w:p>
          <w:p>
            <w:pPr>
              <w:jc w:val="left"/>
            </w:pPr>
            <w:r>
              <w:t>(24 días, 92,3%)</w:t>
            </w:r>
          </w:p>
        </w:tc>
        <w:tc>
          <w:tcPr>
            <w:tcW w:type="dxa" w:w="1440"/>
            <w:noWrap/>
          </w:tcPr>
          <w:p>
            <w:pPr>
              <w:jc w:val="left"/>
            </w:pPr>
            <w:r>
              <w:t>1.007,7 m³</w:t>
            </w:r>
          </w:p>
          <w:p>
            <w:pPr>
              <w:jc w:val="left"/>
            </w:pPr>
            <w:r>
              <w:t>(219,3%)</w:t>
            </w:r>
          </w:p>
        </w:tc>
      </w:tr>
      <w:tr>
        <w:tc>
          <w:tcPr>
            <w:tcW w:type="dxa" w:w="1440"/>
            <w:noWrap/>
          </w:tcPr>
          <w:p>
            <w:r>
              <w:t>9</w:t>
            </w:r>
          </w:p>
        </w:tc>
        <w:tc>
          <w:tcPr>
            <w:tcW w:type="dxa" w:w="1440"/>
            <w:noWrap/>
          </w:tcPr>
          <w:p>
            <w:r>
              <w:t>Esc. Juan Mackenna</w:t>
            </w:r>
          </w:p>
        </w:tc>
        <w:tc>
          <w:tcPr>
            <w:tcW w:type="dxa" w:w="1440"/>
            <w:noWrap/>
          </w:tcPr>
          <w:p>
            <w:r>
              <w:t>444,5</w:t>
            </w:r>
          </w:p>
        </w:tc>
        <w:tc>
          <w:tcPr>
            <w:tcW w:type="dxa" w:w="1440"/>
            <w:noWrap/>
          </w:tcPr>
          <w:p>
            <w:r>
              <w:t>13</w:t>
            </w:r>
          </w:p>
        </w:tc>
        <w:tc>
          <w:tcPr>
            <w:tcW w:type="dxa" w:w="1440"/>
            <w:noWrap/>
          </w:tcPr>
          <w:p>
            <w:pPr>
              <w:jc w:val="left"/>
            </w:pPr>
            <w:r>
              <w:t>105,5 m³</w:t>
            </w:r>
          </w:p>
          <w:p>
            <w:pPr>
              <w:jc w:val="left"/>
            </w:pPr>
            <w:r>
              <w:t>(28 días, 100%)</w:t>
            </w:r>
          </w:p>
        </w:tc>
        <w:tc>
          <w:tcPr>
            <w:tcW w:type="dxa" w:w="1440"/>
            <w:noWrap/>
          </w:tcPr>
          <w:p>
            <w:pPr>
              <w:jc w:val="left"/>
            </w:pPr>
            <w:r>
              <w:t>361,8 m³</w:t>
            </w:r>
          </w:p>
          <w:p>
            <w:pPr>
              <w:jc w:val="left"/>
            </w:pPr>
            <w:r>
              <w:t>(81,4%)</w:t>
            </w:r>
          </w:p>
        </w:tc>
      </w:tr>
      <w:tr>
        <w:tc>
          <w:tcPr>
            <w:tcW w:type="dxa" w:w="1440"/>
            <w:noWrap/>
          </w:tcPr>
          <w:p>
            <w:r>
              <w:t>10</w:t>
            </w:r>
          </w:p>
        </w:tc>
        <w:tc>
          <w:tcPr>
            <w:tcW w:type="dxa" w:w="1440"/>
            <w:noWrap/>
          </w:tcPr>
          <w:p>
            <w:r>
              <w:t>Esc. Nonato Coo</w:t>
            </w:r>
          </w:p>
        </w:tc>
        <w:tc>
          <w:tcPr>
            <w:tcW w:type="dxa" w:w="1440"/>
            <w:noWrap/>
          </w:tcPr>
          <w:p>
            <w:r>
              <w:t>202,8</w:t>
            </w:r>
          </w:p>
        </w:tc>
        <w:tc>
          <w:tcPr>
            <w:tcW w:type="dxa" w:w="1440"/>
            <w:noWrap/>
          </w:tcPr>
          <w:p>
            <w:r>
              <w:t>5</w:t>
            </w:r>
          </w:p>
        </w:tc>
        <w:tc>
          <w:tcPr>
            <w:tcW w:type="dxa" w:w="1440"/>
            <w:noWrap/>
          </w:tcPr>
          <w:p>
            <w:pPr>
              <w:jc w:val="left"/>
            </w:pPr>
            <w:r>
              <w:t>29,6 m³</w:t>
            </w:r>
          </w:p>
          <w:p>
            <w:pPr>
              <w:jc w:val="left"/>
            </w:pPr>
            <w:r>
              <w:t>(19 días, 67,9%)</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Esc. Gabriela</w:t>
            </w:r>
          </w:p>
        </w:tc>
        <w:tc>
          <w:tcPr>
            <w:tcW w:type="dxa" w:w="1440"/>
            <w:noWrap/>
          </w:tcPr>
          <w:p>
            <w:r>
              <w:t>194,2</w:t>
            </w:r>
          </w:p>
        </w:tc>
        <w:tc>
          <w:tcPr>
            <w:tcW w:type="dxa" w:w="1440"/>
            <w:noWrap/>
          </w:tcPr>
          <w:p>
            <w:r>
              <w:t>15</w:t>
            </w:r>
          </w:p>
        </w:tc>
        <w:tc>
          <w:tcPr>
            <w:tcW w:type="dxa" w:w="1440"/>
            <w:noWrap/>
          </w:tcPr>
          <w:p>
            <w:pPr>
              <w:jc w:val="left"/>
            </w:pPr>
            <w:r>
              <w:t>30,9 m³</w:t>
            </w:r>
          </w:p>
          <w:p>
            <w:pPr>
              <w:jc w:val="left"/>
            </w:pPr>
            <w:r>
              <w:t>(20 días, 71,4%)</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9.307</w:t>
            </w:r>
          </w:p>
        </w:tc>
        <w:tc>
          <w:tcPr>
            <w:tcW w:type="dxa" w:w="1440"/>
            <w:noWrap/>
            <w:shd w:val="clear" w:fill="FFE6E6"/>
          </w:tcPr>
          <w:p>
            <w:pPr>
              <w:jc w:val="left"/>
            </w:pPr>
            <w:r>
              <w:rPr>
                <w:b/>
                <w:color w:val="FF0000"/>
              </w:rPr>
              <w:t>115</w:t>
            </w:r>
          </w:p>
        </w:tc>
        <w:tc>
          <w:tcPr>
            <w:tcW w:type="dxa" w:w="1440"/>
            <w:noWrap/>
            <w:shd w:val="clear" w:fill="FFE6E6"/>
          </w:tcPr>
          <w:p>
            <w:pPr>
              <w:jc w:val="left"/>
            </w:pPr>
            <w:r>
              <w:rPr>
                <w:b/>
                <w:color w:val="FF0000"/>
              </w:rPr>
              <w:t>2.145,3 m³</w:t>
            </w:r>
          </w:p>
        </w:tc>
        <w:tc>
          <w:tcPr>
            <w:tcW w:type="dxa" w:w="1440"/>
            <w:noWrap/>
            <w:shd w:val="clear" w:fill="FFE6E6"/>
          </w:tcPr>
          <w:p>
            <w:pPr>
              <w:jc w:val="left"/>
            </w:pPr>
            <w:r>
              <w:rPr>
                <w:b/>
                <w:color w:val="FF0000"/>
              </w:rPr>
              <w:t>7.147,8 m³</w:t>
            </w:r>
          </w:p>
        </w:tc>
      </w:tr>
    </w:tbl>
    <w:p/>
    <w:p>
      <w:pPr>
        <w:keepNext/>
        <w:widowControl/>
        <w:spacing w:after="60"/>
        <w:jc w:val="center"/>
      </w:pPr>
      <w:r>
        <w:drawing>
          <wp:inline xmlns:a="http://schemas.openxmlformats.org/drawingml/2006/main" xmlns:pic="http://schemas.openxmlformats.org/drawingml/2006/picture">
            <wp:extent cx="5486400" cy="34336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33665"/>
                    </a:xfrm>
                    <a:prstGeom prst="rect"/>
                  </pic:spPr>
                </pic:pic>
              </a:graphicData>
            </a:graphic>
          </wp:inline>
        </w:drawing>
      </w:r>
    </w:p>
    <w:p/>
    <w:p>
      <w:pPr>
        <w:keepNext/>
        <w:widowControl/>
        <w:spacing w:after="60"/>
      </w:pPr>
      <w:r>
        <w:rPr>
          <w:b/>
          <w:color w:val="003366"/>
        </w:rPr>
        <w:t>DÍA CON MAYOR CONSUMO NOCTURNO - ESC. PADRE HURTADO (12-05-26):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0_03.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 Padre Hurtado registró 29 alerta(s) durante 20 día(s) del periodo analizado. La periodicidad de las alertas es regular (más del 50% de los días). Se identificó una proyección de filtración de 474,5 m³ ($602.608), lo que indica un patrón de fuga constante durante el periodo.</w:t>
      </w:r>
    </w:p>
    <w:p/>
    <w:p>
      <w:pPr>
        <w:keepNext/>
        <w:widowControl/>
        <w:spacing w:after="60"/>
      </w:pPr>
      <w:r>
        <w:rPr>
          <w:b/>
          <w:color w:val="003366"/>
        </w:rPr>
        <w:t>DÍA CON MAYOR CONSUMO NOCTURNO - COLEGIO MAIPO (18-05-26):</w:t>
      </w:r>
    </w:p>
    <w:p>
      <w:pPr>
        <w:keepNext/>
        <w:widowControl/>
        <w:spacing w:after="60"/>
        <w:jc w:val="center"/>
      </w:pPr>
      <w:r>
        <w:drawing>
          <wp:inline xmlns:a="http://schemas.openxmlformats.org/drawingml/2006/main" xmlns:pic="http://schemas.openxmlformats.org/drawingml/2006/picture">
            <wp:extent cx="5486400" cy="2704355"/>
            <wp:docPr id="4" name="Picture 4"/>
            <wp:cNvGraphicFramePr>
              <a:graphicFrameLocks noChangeAspect="1"/>
            </wp:cNvGraphicFramePr>
            <a:graphic>
              <a:graphicData uri="http://schemas.openxmlformats.org/drawingml/2006/picture">
                <pic:pic>
                  <pic:nvPicPr>
                    <pic:cNvPr id="0" name="chart_max_nocturnal_000010_04.png"/>
                    <pic:cNvPicPr/>
                  </pic:nvPicPr>
                  <pic:blipFill>
                    <a:blip r:embed="rId13"/>
                    <a:stretch>
                      <a:fillRect/>
                    </a:stretch>
                  </pic:blipFill>
                  <pic:spPr>
                    <a:xfrm>
                      <a:off x="0" y="0"/>
                      <a:ext cx="5486400" cy="2704355"/>
                    </a:xfrm>
                    <a:prstGeom prst="rect"/>
                  </pic:spPr>
                </pic:pic>
              </a:graphicData>
            </a:graphic>
          </wp:inline>
        </w:drawing>
      </w:r>
    </w:p>
    <w:p>
      <w:pPr>
        <w:jc w:val="both"/>
      </w:pPr>
      <w:r>
        <w:rPr>
          <w:color w:val="000000"/>
        </w:rPr>
        <w:t>El nodo Colegio Maipo registró 28 alerta(s) durante 20 día(s) del periodo analizado. La periodicidad de las alertas es regular (más del 50% de los días). Se identificó una proyección de filtración de 379,1 m³ ($481.449), lo que indica un patrón de fuga constante durante el periodo.</w:t>
      </w:r>
    </w:p>
    <w:p/>
    <w:p>
      <w:pPr>
        <w:keepNext/>
        <w:widowControl/>
        <w:spacing w:after="60"/>
      </w:pPr>
      <w:r>
        <w:rPr>
          <w:b/>
          <w:color w:val="003366"/>
        </w:rPr>
        <w:t>DÍA CON MAYOR CONSUMO NOCTURNO - ESC. LUIS MATTE LARRAÍN (20-05-26):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10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Esc. Luis Matte Larraín registró 7 alerta(s) durante 7 día(s) del periodo analizado. La periodicidad de las alertas es intermitente (más del 20% de los días). Se identificó una proyección de filtración de 1.250,4 m³ ($1.588.016), lo que indica un patrón de fuga constante durante el periodo.</w:t>
      </w:r>
    </w:p>
    <w:p/>
    <w:p>
      <w:pPr>
        <w:keepNext/>
        <w:widowControl/>
        <w:spacing w:after="60"/>
      </w:pPr>
      <w:r>
        <w:rPr>
          <w:b/>
          <w:color w:val="003366"/>
        </w:rPr>
        <w:t>DÍA CON MAYOR CONSUMO NOCTURNO - ESC. GABRIELA (20-05-26):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0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Esc. Gabriela registró 15 alerta(s) durante 12 día(s) del periodo analizado. La periodicidad de las alertas es intermitente (más del 20% de los días).</w:t>
      </w:r>
    </w:p>
    <w:p/>
    <w:p>
      <w:pPr>
        <w:keepNext/>
        <w:widowControl/>
        <w:spacing w:after="60"/>
      </w:pPr>
      <w:r>
        <w:rPr>
          <w:b/>
          <w:color w:val="003366"/>
        </w:rPr>
        <w:t>DÍA CON MAYOR CONSUMO NOCTURNO - ESC. JUAN MACKENNA (20-05-26):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10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Esc. Juan Mackenna registró 13 alerta(s) durante 11 día(s) del periodo analizado. La periodicidad de las alertas es intermitente (más del 20% de los días). Se identificó una proyección de filtración de 361,8 m³ ($459.478), lo que indica un patrón de fuga constante durante el periodo.</w:t>
      </w:r>
    </w:p>
    <w:p/>
    <w:p>
      <w:pPr>
        <w:keepNext/>
        <w:widowControl/>
        <w:spacing w:after="60"/>
      </w:pPr>
      <w:r>
        <w:rPr>
          <w:b/>
          <w:color w:val="003366"/>
        </w:rPr>
        <w:t>DÍA CON MAYOR CONSUMO NOCTURNO - LICEO CHILOÉ (16-05-26):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10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Liceo Chiloé registró 6 alerta(s) durante 6 día(s) del periodo analizado. La periodicidad de las alertas es puntual (menos del 20% de los días). Se identificó una proyección de filtración de 1.578 m³ ($2.004.061), lo que indica un patrón de fuga constante durante el periodo.</w:t>
      </w:r>
    </w:p>
    <w:p/>
    <w:p>
      <w:pPr>
        <w:keepNext/>
        <w:widowControl/>
        <w:spacing w:after="60"/>
      </w:pPr>
      <w:r>
        <w:rPr>
          <w:b/>
          <w:color w:val="003366"/>
        </w:rPr>
        <w:t>DÍA CON MAYOR CONSUMO NOCTURNO - ESC. LOS ANDES (11-05-26):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10_0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Esc. Los Andes registró 12 alerta(s) durante 9 día(s) del periodo analizado. La periodicidad de las alertas es intermitente (más del 20% de los días). Se identificó una proyección de filtración de 1.007,7 m³ ($1.279.736), lo que indica un patrón de fuga constante durante el periodo.</w:t>
      </w:r>
    </w:p>
    <w:p/>
    <w:p>
      <w:pPr>
        <w:keepNext/>
        <w:widowControl/>
        <w:spacing w:after="60"/>
      </w:pPr>
      <w:r>
        <w:rPr>
          <w:b/>
          <w:color w:val="003366"/>
        </w:rPr>
        <w:t>DÍA CON MAYOR CONSUMO NOCTURNO - ESC. NONATO COO (18-05-26):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10_11.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Esc. Nonato Coo registró 5 alerta(s) durante 4 día(s) del periodo analizado. La periodicidad de las alertas es puntual (menos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Escuela Andes del SUR, Liceo Chiloé, Esc. Luis Matte Larraín, Esc. Villa Independencia, Colegio Maipo, Esc. Padre Hurtado, Esc. Los Andes y Esc. Juan Mackenna.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