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Corporación Puente Alto</w:t>
      </w:r>
    </w:p>
    <w:p>
      <w:pPr>
        <w:jc w:val="center"/>
      </w:pPr>
      <w:r>
        <w:t>MONITOREO WES</w:t>
        <w:br/>
        <w:t>Análisis consolidado de 11 puntos de monitoreo</w:t>
        <w:br/>
        <w:t>Rango: 01-06-26 - 30-06-26</w:t>
        <w:br/>
        <w:t>Generado: 30-06-26 14:33</w:t>
      </w:r>
    </w:p>
    <w:p>
      <w:pPr>
        <w:pStyle w:val="Heading1"/>
        <w:keepNext/>
        <w:widowControl/>
        <w:spacing w:after="60"/>
      </w:pPr>
      <w:r>
        <w:rPr>
          <w:b/>
          <w:color w:val="003366"/>
        </w:rPr>
        <w:t>RESUMEN EJECUTIVO AGREGADO</w:t>
      </w:r>
    </w:p>
    <w:p>
      <w:r>
        <w:t>Puntos de monitoreo analizados: 11.</w:t>
        <w:br/>
      </w:r>
      <w:r>
        <w:t>Consumo total agregado: 8.819,9 m³.</w:t>
        <w:br/>
      </w:r>
      <w:r>
        <w:t>Consumo promedio por punto: 801,8 m³.</w:t>
        <w:br/>
      </w:r>
      <w:r>
        <w:t>Total de alertas registradas: 115.</w:t>
        <w:br/>
      </w:r>
      <w:r>
        <w:t>Promedio de alerta agregado: 0,6 m³/h.</w:t>
        <w:br/>
      </w:r>
      <w:r>
        <w:t>Proyección diaria de consumo nocturno agregada: 14,4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47834"/>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47834"/>
                    </a:xfrm>
                    <a:prstGeom prst="rect"/>
                  </pic:spPr>
                </pic:pic>
              </a:graphicData>
            </a:graphic>
          </wp:inline>
        </w:drawing>
      </w:r>
    </w:p>
    <w:p/>
    <w:p>
      <w:pPr>
        <w:jc w:val="both"/>
      </w:pPr>
      <w:r>
        <w:rPr>
          <w:color w:val="000000"/>
        </w:rPr>
        <w:t>El análisis comparativo revela que el punto con mayor consumo es Esc. Villa Independencia, con un total de 1.732 m³ durante el periodo analizado. Este valor representa un 116% por encima del promedio (801,8 m³ por punto), indicando una demanda significativamente superior a la media. Por otro lado, el punto con menor consumo es Esc. Gabriela, con un total de 101,7 m³. Este valor representa un 87,3% por debajo del promedio, mostrando una demanda significativamente inferior. La diferencia entre el punto de mayor y menor consumo es considerable, siendo el consumo máximo aproximadamente 17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6"/>
        <w:gridCol w:w="1432"/>
        <w:gridCol w:w="1074"/>
        <w:gridCol w:w="955"/>
        <w:gridCol w:w="1492"/>
        <w:gridCol w:w="143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Esc. Villa Independencia</w:t>
            </w:r>
          </w:p>
        </w:tc>
        <w:tc>
          <w:tcPr>
            <w:tcW w:type="dxa" w:w="1440"/>
            <w:noWrap/>
          </w:tcPr>
          <w:p>
            <w:r>
              <w:t>1.732</w:t>
            </w:r>
          </w:p>
        </w:tc>
        <w:tc>
          <w:tcPr>
            <w:tcW w:type="dxa" w:w="1440"/>
            <w:noWrap/>
          </w:tcPr>
          <w:p>
            <w:r>
              <w:t>0</w:t>
            </w:r>
          </w:p>
        </w:tc>
        <w:tc>
          <w:tcPr>
            <w:tcW w:type="dxa" w:w="1440"/>
            <w:noWrap/>
          </w:tcPr>
          <w:p>
            <w:pPr>
              <w:jc w:val="left"/>
            </w:pPr>
            <w:r>
              <w:t>485,1 m³</w:t>
            </w:r>
          </w:p>
          <w:p>
            <w:pPr>
              <w:jc w:val="left"/>
            </w:pPr>
            <w:r>
              <w:t>(30 días, 100%)</w:t>
            </w:r>
          </w:p>
        </w:tc>
        <w:tc>
          <w:tcPr>
            <w:tcW w:type="dxa" w:w="1440"/>
            <w:noWrap/>
          </w:tcPr>
          <w:p>
            <w:pPr>
              <w:jc w:val="left"/>
            </w:pPr>
            <w:r>
              <w:t>1.663,4 m³</w:t>
            </w:r>
          </w:p>
          <w:p>
            <w:pPr>
              <w:jc w:val="left"/>
            </w:pPr>
            <w:r>
              <w:t>(96%)</w:t>
            </w:r>
          </w:p>
        </w:tc>
      </w:tr>
      <w:tr>
        <w:tc>
          <w:tcPr>
            <w:tcW w:type="dxa" w:w="1440"/>
            <w:noWrap/>
          </w:tcPr>
          <w:p>
            <w:r>
              <w:t>2</w:t>
            </w:r>
          </w:p>
        </w:tc>
        <w:tc>
          <w:tcPr>
            <w:tcW w:type="dxa" w:w="1440"/>
            <w:noWrap/>
          </w:tcPr>
          <w:p>
            <w:r>
              <w:t>Liceo Chiloé</w:t>
            </w:r>
          </w:p>
        </w:tc>
        <w:tc>
          <w:tcPr>
            <w:tcW w:type="dxa" w:w="1440"/>
            <w:noWrap/>
          </w:tcPr>
          <w:p>
            <w:r>
              <w:t>1.578,4</w:t>
            </w:r>
          </w:p>
        </w:tc>
        <w:tc>
          <w:tcPr>
            <w:tcW w:type="dxa" w:w="1440"/>
            <w:noWrap/>
          </w:tcPr>
          <w:p>
            <w:r>
              <w:t>5</w:t>
            </w:r>
          </w:p>
        </w:tc>
        <w:tc>
          <w:tcPr>
            <w:tcW w:type="dxa" w:w="1440"/>
            <w:noWrap/>
          </w:tcPr>
          <w:p>
            <w:pPr>
              <w:jc w:val="left"/>
            </w:pPr>
            <w:r>
              <w:t>471 m³</w:t>
            </w:r>
          </w:p>
          <w:p>
            <w:pPr>
              <w:jc w:val="left"/>
            </w:pPr>
            <w:r>
              <w:t>(30 días, 100%)</w:t>
            </w:r>
          </w:p>
        </w:tc>
        <w:tc>
          <w:tcPr>
            <w:tcW w:type="dxa" w:w="1440"/>
            <w:noWrap/>
          </w:tcPr>
          <w:p>
            <w:pPr>
              <w:jc w:val="left"/>
            </w:pPr>
            <w:r>
              <w:t>1.614,9 m³</w:t>
            </w:r>
          </w:p>
          <w:p>
            <w:pPr>
              <w:jc w:val="left"/>
            </w:pPr>
            <w:r>
              <w:t>(102,3%)</w:t>
            </w:r>
          </w:p>
        </w:tc>
      </w:tr>
      <w:tr>
        <w:tc>
          <w:tcPr>
            <w:tcW w:type="dxa" w:w="1440"/>
            <w:noWrap/>
          </w:tcPr>
          <w:p>
            <w:r>
              <w:t>3</w:t>
            </w:r>
          </w:p>
        </w:tc>
        <w:tc>
          <w:tcPr>
            <w:tcW w:type="dxa" w:w="1440"/>
            <w:noWrap/>
          </w:tcPr>
          <w:p>
            <w:r>
              <w:t>Escuela Andes del SUR</w:t>
            </w:r>
          </w:p>
        </w:tc>
        <w:tc>
          <w:tcPr>
            <w:tcW w:type="dxa" w:w="1440"/>
            <w:noWrap/>
          </w:tcPr>
          <w:p>
            <w:r>
              <w:t>1.516,4</w:t>
            </w:r>
          </w:p>
        </w:tc>
        <w:tc>
          <w:tcPr>
            <w:tcW w:type="dxa" w:w="1440"/>
            <w:noWrap/>
          </w:tcPr>
          <w:p>
            <w:r>
              <w:t>0</w:t>
            </w:r>
          </w:p>
        </w:tc>
        <w:tc>
          <w:tcPr>
            <w:tcW w:type="dxa" w:w="1440"/>
            <w:noWrap/>
          </w:tcPr>
          <w:p>
            <w:pPr>
              <w:jc w:val="left"/>
            </w:pPr>
            <w:r>
              <w:t>502,6 m³</w:t>
            </w:r>
          </w:p>
          <w:p>
            <w:pPr>
              <w:jc w:val="left"/>
            </w:pPr>
            <w:r>
              <w:t>(30 días, 100%)</w:t>
            </w:r>
          </w:p>
        </w:tc>
        <w:tc>
          <w:tcPr>
            <w:tcW w:type="dxa" w:w="1440"/>
            <w:noWrap/>
          </w:tcPr>
          <w:p>
            <w:pPr>
              <w:jc w:val="left"/>
            </w:pPr>
            <w:r>
              <w:t>1.723,1 m³</w:t>
            </w:r>
          </w:p>
          <w:p>
            <w:pPr>
              <w:jc w:val="left"/>
            </w:pPr>
            <w:r>
              <w:t>(113,6%)</w:t>
            </w:r>
          </w:p>
        </w:tc>
      </w:tr>
      <w:tr>
        <w:tc>
          <w:tcPr>
            <w:tcW w:type="dxa" w:w="1440"/>
            <w:noWrap/>
          </w:tcPr>
          <w:p>
            <w:r>
              <w:t>4</w:t>
            </w:r>
          </w:p>
        </w:tc>
        <w:tc>
          <w:tcPr>
            <w:tcW w:type="dxa" w:w="1440"/>
            <w:noWrap/>
          </w:tcPr>
          <w:p>
            <w:r>
              <w:t>Esc. Los Andes</w:t>
            </w:r>
          </w:p>
        </w:tc>
        <w:tc>
          <w:tcPr>
            <w:tcW w:type="dxa" w:w="1440"/>
            <w:noWrap/>
          </w:tcPr>
          <w:p>
            <w:r>
              <w:t>1.108,1</w:t>
            </w:r>
          </w:p>
        </w:tc>
        <w:tc>
          <w:tcPr>
            <w:tcW w:type="dxa" w:w="1440"/>
            <w:noWrap/>
          </w:tcPr>
          <w:p>
            <w:r>
              <w:t>8</w:t>
            </w:r>
          </w:p>
        </w:tc>
        <w:tc>
          <w:tcPr>
            <w:tcW w:type="dxa" w:w="1440"/>
            <w:noWrap/>
          </w:tcPr>
          <w:p>
            <w:pPr>
              <w:jc w:val="left"/>
            </w:pPr>
            <w:r>
              <w:t>317,1 m³</w:t>
            </w:r>
          </w:p>
          <w:p>
            <w:pPr>
              <w:jc w:val="left"/>
            </w:pPr>
            <w:r>
              <w:t>(25 días, 83,3%)</w:t>
            </w:r>
          </w:p>
        </w:tc>
        <w:tc>
          <w:tcPr>
            <w:tcW w:type="dxa" w:w="1440"/>
            <w:noWrap/>
          </w:tcPr>
          <w:p>
            <w:pPr>
              <w:jc w:val="left"/>
            </w:pPr>
            <w:r>
              <w:t>1.087,1 m³</w:t>
            </w:r>
          </w:p>
          <w:p>
            <w:pPr>
              <w:jc w:val="left"/>
            </w:pPr>
            <w:r>
              <w:t>(98,1%)</w:t>
            </w:r>
          </w:p>
        </w:tc>
      </w:tr>
      <w:tr>
        <w:tc>
          <w:tcPr>
            <w:tcW w:type="dxa" w:w="1440"/>
            <w:noWrap/>
          </w:tcPr>
          <w:p>
            <w:r>
              <w:t>5</w:t>
            </w:r>
          </w:p>
        </w:tc>
        <w:tc>
          <w:tcPr>
            <w:tcW w:type="dxa" w:w="1440"/>
            <w:noWrap/>
          </w:tcPr>
          <w:p>
            <w:r>
              <w:t>Consolidada</w:t>
            </w:r>
          </w:p>
        </w:tc>
        <w:tc>
          <w:tcPr>
            <w:tcW w:type="dxa" w:w="1440"/>
            <w:noWrap/>
          </w:tcPr>
          <w:p>
            <w:r>
              <w:t>830,8</w:t>
            </w:r>
          </w:p>
        </w:tc>
        <w:tc>
          <w:tcPr>
            <w:tcW w:type="dxa" w:w="1440"/>
            <w:noWrap/>
          </w:tcPr>
          <w:p>
            <w:r>
              <w:t>0</w:t>
            </w:r>
          </w:p>
        </w:tc>
        <w:tc>
          <w:tcPr>
            <w:tcW w:type="dxa" w:w="1440"/>
            <w:noWrap/>
          </w:tcPr>
          <w:p>
            <w:pPr>
              <w:jc w:val="left"/>
            </w:pPr>
            <w:r>
              <w:t>181,8 m³</w:t>
            </w:r>
          </w:p>
          <w:p>
            <w:pPr>
              <w:jc w:val="left"/>
            </w:pPr>
            <w:r>
              <w:t>(30 días, 100%)</w:t>
            </w:r>
          </w:p>
        </w:tc>
        <w:tc>
          <w:tcPr>
            <w:tcW w:type="dxa" w:w="1440"/>
            <w:noWrap/>
          </w:tcPr>
          <w:p>
            <w:pPr>
              <w:jc w:val="left"/>
            </w:pPr>
            <w:r>
              <w:t>623,2 m³</w:t>
            </w:r>
          </w:p>
          <w:p>
            <w:pPr>
              <w:jc w:val="left"/>
            </w:pPr>
            <w:r>
              <w:t>(75%)</w:t>
            </w:r>
          </w:p>
        </w:tc>
      </w:tr>
      <w:tr>
        <w:tc>
          <w:tcPr>
            <w:tcW w:type="dxa" w:w="1440"/>
            <w:noWrap/>
          </w:tcPr>
          <w:p>
            <w:r>
              <w:t>6</w:t>
            </w:r>
          </w:p>
        </w:tc>
        <w:tc>
          <w:tcPr>
            <w:tcW w:type="dxa" w:w="1440"/>
            <w:noWrap/>
          </w:tcPr>
          <w:p>
            <w:r>
              <w:t>Esc. Luis Matte Larraín</w:t>
            </w:r>
          </w:p>
        </w:tc>
        <w:tc>
          <w:tcPr>
            <w:tcW w:type="dxa" w:w="1440"/>
            <w:noWrap/>
          </w:tcPr>
          <w:p>
            <w:r>
              <w:t>781,9</w:t>
            </w:r>
          </w:p>
        </w:tc>
        <w:tc>
          <w:tcPr>
            <w:tcW w:type="dxa" w:w="1440"/>
            <w:noWrap/>
          </w:tcPr>
          <w:p>
            <w:r>
              <w:t>14</w:t>
            </w:r>
          </w:p>
        </w:tc>
        <w:tc>
          <w:tcPr>
            <w:tcW w:type="dxa" w:w="1440"/>
            <w:noWrap/>
          </w:tcPr>
          <w:p>
            <w:pPr>
              <w:jc w:val="left"/>
            </w:pPr>
            <w:r>
              <w:t>239 m³</w:t>
            </w:r>
          </w:p>
          <w:p>
            <w:pPr>
              <w:jc w:val="left"/>
            </w:pPr>
            <w:r>
              <w:t>(30 días, 100%)</w:t>
            </w:r>
          </w:p>
        </w:tc>
        <w:tc>
          <w:tcPr>
            <w:tcW w:type="dxa" w:w="1440"/>
            <w:noWrap/>
          </w:tcPr>
          <w:p>
            <w:pPr>
              <w:jc w:val="left"/>
            </w:pPr>
            <w:r>
              <w:t>819,5 m³</w:t>
            </w:r>
          </w:p>
          <w:p>
            <w:pPr>
              <w:jc w:val="left"/>
            </w:pPr>
            <w:r>
              <w:t>(104,8%)</w:t>
            </w:r>
          </w:p>
        </w:tc>
      </w:tr>
      <w:tr>
        <w:tc>
          <w:tcPr>
            <w:tcW w:type="dxa" w:w="1440"/>
            <w:noWrap/>
          </w:tcPr>
          <w:p>
            <w:r>
              <w:t>7</w:t>
            </w:r>
          </w:p>
        </w:tc>
        <w:tc>
          <w:tcPr>
            <w:tcW w:type="dxa" w:w="1440"/>
            <w:noWrap/>
          </w:tcPr>
          <w:p>
            <w:r>
              <w:t>Esc. Juan Mackenna</w:t>
            </w:r>
          </w:p>
        </w:tc>
        <w:tc>
          <w:tcPr>
            <w:tcW w:type="dxa" w:w="1440"/>
            <w:noWrap/>
          </w:tcPr>
          <w:p>
            <w:r>
              <w:t>427,8</w:t>
            </w:r>
          </w:p>
        </w:tc>
        <w:tc>
          <w:tcPr>
            <w:tcW w:type="dxa" w:w="1440"/>
            <w:noWrap/>
          </w:tcPr>
          <w:p>
            <w:r>
              <w:t>3</w:t>
            </w:r>
          </w:p>
        </w:tc>
        <w:tc>
          <w:tcPr>
            <w:tcW w:type="dxa" w:w="1440"/>
            <w:noWrap/>
          </w:tcPr>
          <w:p>
            <w:pPr>
              <w:jc w:val="left"/>
            </w:pPr>
            <w:r>
              <w:t>103,8 m³</w:t>
            </w:r>
          </w:p>
          <w:p>
            <w:pPr>
              <w:jc w:val="left"/>
            </w:pPr>
            <w:r>
              <w:t>(30 días, 100%)</w:t>
            </w:r>
          </w:p>
        </w:tc>
        <w:tc>
          <w:tcPr>
            <w:tcW w:type="dxa" w:w="1440"/>
            <w:noWrap/>
          </w:tcPr>
          <w:p>
            <w:pPr>
              <w:jc w:val="left"/>
            </w:pPr>
            <w:r>
              <w:t>356,1 m³</w:t>
            </w:r>
          </w:p>
          <w:p>
            <w:pPr>
              <w:jc w:val="left"/>
            </w:pPr>
            <w:r>
              <w:t>(83,2%)</w:t>
            </w:r>
          </w:p>
        </w:tc>
      </w:tr>
      <w:tr>
        <w:tc>
          <w:tcPr>
            <w:tcW w:type="dxa" w:w="1440"/>
            <w:noWrap/>
          </w:tcPr>
          <w:p>
            <w:r>
              <w:t>8</w:t>
            </w:r>
          </w:p>
        </w:tc>
        <w:tc>
          <w:tcPr>
            <w:tcW w:type="dxa" w:w="1440"/>
            <w:noWrap/>
          </w:tcPr>
          <w:p>
            <w:r>
              <w:t>Colegio Maipo</w:t>
            </w:r>
          </w:p>
        </w:tc>
        <w:tc>
          <w:tcPr>
            <w:tcW w:type="dxa" w:w="1440"/>
            <w:noWrap/>
          </w:tcPr>
          <w:p>
            <w:r>
              <w:t>400,3</w:t>
            </w:r>
          </w:p>
        </w:tc>
        <w:tc>
          <w:tcPr>
            <w:tcW w:type="dxa" w:w="1440"/>
            <w:noWrap/>
          </w:tcPr>
          <w:p>
            <w:r>
              <w:t>35</w:t>
            </w:r>
          </w:p>
        </w:tc>
        <w:tc>
          <w:tcPr>
            <w:tcW w:type="dxa" w:w="1440"/>
            <w:noWrap/>
          </w:tcPr>
          <w:p>
            <w:pPr>
              <w:jc w:val="left"/>
            </w:pPr>
            <w:r>
              <w:t>88,8 m³</w:t>
            </w:r>
          </w:p>
          <w:p>
            <w:pPr>
              <w:jc w:val="left"/>
            </w:pPr>
            <w:r>
              <w:t>(30 días, 100%)</w:t>
            </w:r>
          </w:p>
        </w:tc>
        <w:tc>
          <w:tcPr>
            <w:tcW w:type="dxa" w:w="1440"/>
            <w:noWrap/>
          </w:tcPr>
          <w:p>
            <w:pPr>
              <w:jc w:val="left"/>
            </w:pPr>
            <w:r>
              <w:t>304,3 m³</w:t>
            </w:r>
          </w:p>
          <w:p>
            <w:pPr>
              <w:jc w:val="left"/>
            </w:pPr>
            <w:r>
              <w:t>(76%)</w:t>
            </w:r>
          </w:p>
        </w:tc>
      </w:tr>
      <w:tr>
        <w:tc>
          <w:tcPr>
            <w:tcW w:type="dxa" w:w="1440"/>
            <w:noWrap/>
          </w:tcPr>
          <w:p>
            <w:r>
              <w:t>9</w:t>
            </w:r>
          </w:p>
        </w:tc>
        <w:tc>
          <w:tcPr>
            <w:tcW w:type="dxa" w:w="1440"/>
            <w:noWrap/>
          </w:tcPr>
          <w:p>
            <w:r>
              <w:t>Esc. Padre Hurtado</w:t>
            </w:r>
          </w:p>
        </w:tc>
        <w:tc>
          <w:tcPr>
            <w:tcW w:type="dxa" w:w="1440"/>
            <w:noWrap/>
          </w:tcPr>
          <w:p>
            <w:r>
              <w:t>238,5</w:t>
            </w:r>
          </w:p>
        </w:tc>
        <w:tc>
          <w:tcPr>
            <w:tcW w:type="dxa" w:w="1440"/>
            <w:noWrap/>
          </w:tcPr>
          <w:p>
            <w:r>
              <w:t>32</w:t>
            </w:r>
          </w:p>
        </w:tc>
        <w:tc>
          <w:tcPr>
            <w:tcW w:type="dxa" w:w="1440"/>
            <w:noWrap/>
          </w:tcPr>
          <w:p>
            <w:pPr>
              <w:jc w:val="left"/>
            </w:pPr>
            <w:r>
              <w:t>69,5 m³</w:t>
            </w:r>
          </w:p>
          <w:p>
            <w:pPr>
              <w:jc w:val="left"/>
            </w:pPr>
            <w:r>
              <w:t>(25 días, 96,2%)</w:t>
            </w:r>
          </w:p>
        </w:tc>
        <w:tc>
          <w:tcPr>
            <w:tcW w:type="dxa" w:w="1440"/>
            <w:noWrap/>
          </w:tcPr>
          <w:p>
            <w:pPr>
              <w:jc w:val="left"/>
            </w:pPr>
            <w:r>
              <w:t>238,3 m³</w:t>
            </w:r>
          </w:p>
          <w:p>
            <w:pPr>
              <w:jc w:val="left"/>
            </w:pPr>
            <w:r>
              <w:t>(99,9%)</w:t>
            </w:r>
          </w:p>
        </w:tc>
      </w:tr>
      <w:tr>
        <w:tc>
          <w:tcPr>
            <w:tcW w:type="dxa" w:w="1440"/>
            <w:noWrap/>
          </w:tcPr>
          <w:p>
            <w:r>
              <w:t>10</w:t>
            </w:r>
          </w:p>
        </w:tc>
        <w:tc>
          <w:tcPr>
            <w:tcW w:type="dxa" w:w="1440"/>
            <w:noWrap/>
          </w:tcPr>
          <w:p>
            <w:r>
              <w:t>Esc. Nonato Coo</w:t>
            </w:r>
          </w:p>
        </w:tc>
        <w:tc>
          <w:tcPr>
            <w:tcW w:type="dxa" w:w="1440"/>
            <w:noWrap/>
          </w:tcPr>
          <w:p>
            <w:r>
              <w:t>104</w:t>
            </w:r>
          </w:p>
        </w:tc>
        <w:tc>
          <w:tcPr>
            <w:tcW w:type="dxa" w:w="1440"/>
            <w:noWrap/>
          </w:tcPr>
          <w:p>
            <w:r>
              <w:t>6</w:t>
            </w:r>
          </w:p>
        </w:tc>
        <w:tc>
          <w:tcPr>
            <w:tcW w:type="dxa" w:w="1440"/>
            <w:noWrap/>
          </w:tcPr>
          <w:p>
            <w:pPr>
              <w:jc w:val="left"/>
            </w:pPr>
            <w:r>
              <w:t>22,6 m³</w:t>
            </w:r>
          </w:p>
          <w:p>
            <w:pPr>
              <w:jc w:val="left"/>
            </w:pPr>
            <w:r>
              <w:t>(15 días, 62,5%)</w:t>
            </w:r>
          </w:p>
        </w:tc>
        <w:tc>
          <w:tcPr>
            <w:tcW w:type="dxa" w:w="1440"/>
            <w:noWrap/>
          </w:tcPr>
          <w:p>
            <w:pPr>
              <w:jc w:val="left"/>
            </w:pPr>
            <w:r>
              <w:t>0,0 m³</w:t>
            </w:r>
          </w:p>
          <w:p>
            <w:pPr>
              <w:jc w:val="left"/>
            </w:pPr>
            <w:r>
              <w:t>(0,0%)</w:t>
            </w:r>
          </w:p>
        </w:tc>
      </w:tr>
      <w:tr>
        <w:tc>
          <w:tcPr>
            <w:tcW w:type="dxa" w:w="1440"/>
            <w:noWrap/>
          </w:tcPr>
          <w:p>
            <w:r>
              <w:t>11</w:t>
            </w:r>
          </w:p>
        </w:tc>
        <w:tc>
          <w:tcPr>
            <w:tcW w:type="dxa" w:w="1440"/>
            <w:noWrap/>
          </w:tcPr>
          <w:p>
            <w:r>
              <w:t>Esc. Gabriela</w:t>
            </w:r>
          </w:p>
        </w:tc>
        <w:tc>
          <w:tcPr>
            <w:tcW w:type="dxa" w:w="1440"/>
            <w:noWrap/>
          </w:tcPr>
          <w:p>
            <w:r>
              <w:t>101,7</w:t>
            </w:r>
          </w:p>
        </w:tc>
        <w:tc>
          <w:tcPr>
            <w:tcW w:type="dxa" w:w="1440"/>
            <w:noWrap/>
          </w:tcPr>
          <w:p>
            <w:r>
              <w:t>12</w:t>
            </w:r>
          </w:p>
        </w:tc>
        <w:tc>
          <w:tcPr>
            <w:tcW w:type="dxa" w:w="1440"/>
            <w:noWrap/>
          </w:tcPr>
          <w:p>
            <w:pPr>
              <w:jc w:val="left"/>
            </w:pPr>
            <w:r>
              <w:t>11,6 m³</w:t>
            </w:r>
          </w:p>
          <w:p>
            <w:pPr>
              <w:jc w:val="left"/>
            </w:pPr>
            <w:r>
              <w:t>(19 días, 73,1%)</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8.819,9</w:t>
            </w:r>
          </w:p>
        </w:tc>
        <w:tc>
          <w:tcPr>
            <w:tcW w:type="dxa" w:w="1440"/>
            <w:noWrap/>
            <w:shd w:val="clear" w:fill="FFE6E6"/>
          </w:tcPr>
          <w:p>
            <w:pPr>
              <w:jc w:val="left"/>
            </w:pPr>
            <w:r>
              <w:rPr>
                <w:b/>
                <w:color w:val="FF0000"/>
              </w:rPr>
              <w:t>115</w:t>
            </w:r>
          </w:p>
        </w:tc>
        <w:tc>
          <w:tcPr>
            <w:tcW w:type="dxa" w:w="1440"/>
            <w:noWrap/>
            <w:shd w:val="clear" w:fill="FFE6E6"/>
          </w:tcPr>
          <w:p>
            <w:pPr>
              <w:jc w:val="left"/>
            </w:pPr>
            <w:r>
              <w:rPr>
                <w:b/>
                <w:color w:val="FF0000"/>
              </w:rPr>
              <w:t>2.493 m³</w:t>
            </w:r>
          </w:p>
        </w:tc>
        <w:tc>
          <w:tcPr>
            <w:tcW w:type="dxa" w:w="1440"/>
            <w:noWrap/>
            <w:shd w:val="clear" w:fill="FFE6E6"/>
          </w:tcPr>
          <w:p>
            <w:pPr>
              <w:jc w:val="left"/>
            </w:pPr>
            <w:r>
              <w:rPr>
                <w:b/>
                <w:color w:val="FF0000"/>
              </w:rPr>
              <w:t>8.429,9 m³</w:t>
            </w:r>
          </w:p>
        </w:tc>
      </w:tr>
    </w:tbl>
    <w:p/>
    <w:p>
      <w:pPr>
        <w:keepNext/>
        <w:widowControl/>
        <w:spacing w:after="60"/>
        <w:jc w:val="center"/>
      </w:pPr>
      <w:r>
        <w:drawing>
          <wp:inline xmlns:a="http://schemas.openxmlformats.org/drawingml/2006/main" xmlns:pic="http://schemas.openxmlformats.org/drawingml/2006/picture">
            <wp:extent cx="5486400" cy="34336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33665"/>
                    </a:xfrm>
                    <a:prstGeom prst="rect"/>
                  </pic:spPr>
                </pic:pic>
              </a:graphicData>
            </a:graphic>
          </wp:inline>
        </w:drawing>
      </w:r>
    </w:p>
    <w:p/>
    <w:p>
      <w:pPr>
        <w:keepNext/>
        <w:widowControl/>
        <w:spacing w:after="60"/>
      </w:pPr>
      <w:r>
        <w:rPr>
          <w:b/>
          <w:color w:val="003366"/>
        </w:rPr>
        <w:t>DÍA CON MAYOR CONSUMO NOCTURNO - ESC. PADRE HURTADO (30-06-26):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0_03.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Esc. Padre Hurtado registró 32 alerta(s) durante 22 día(s) del periodo analizado. La periodicidad de las alertas es regular (más del 50% de los días). Se identificó una proyección de filtración de 238,3 m³ ($302.628), lo que indica un patrón de fuga constante durante el periodo.</w:t>
      </w:r>
    </w:p>
    <w:p/>
    <w:p>
      <w:pPr>
        <w:keepNext/>
        <w:widowControl/>
        <w:spacing w:after="60"/>
      </w:pPr>
      <w:r>
        <w:rPr>
          <w:b/>
          <w:color w:val="003366"/>
        </w:rPr>
        <w:t>DÍA CON MAYOR CONSUMO NOCTURNO - COLEGIO MAIPO (01-06-26):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10_04.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Colegio Maipo registró 35 alerta(s) durante 20 día(s) del periodo analizado. La periodicidad de las alertas es regular (más del 50% de los días). Se identificó una proyección de filtración de 304,3 m³ ($386.519), lo que indica un patrón de fuga constante durante el periodo.</w:t>
      </w:r>
    </w:p>
    <w:p/>
    <w:p>
      <w:pPr>
        <w:keepNext/>
        <w:widowControl/>
        <w:spacing w:after="60"/>
      </w:pPr>
      <w:r>
        <w:rPr>
          <w:b/>
          <w:color w:val="003366"/>
        </w:rPr>
        <w:t>DÍA CON MAYOR CONSUMO NOCTURNO - ESC. LUIS MATTE LARRAÍN (30-06-26):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10_0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Esc. Luis Matte Larraín registró 14 alerta(s) durante 12 día(s) del periodo analizado. La periodicidad de las alertas es intermitente (más del 20% de los días). Se identificó una proyección de filtración de 819,5 m³ ($1.040.738), lo que indica un patrón de fuga constante durante el periodo.</w:t>
      </w:r>
    </w:p>
    <w:p/>
    <w:p>
      <w:pPr>
        <w:keepNext/>
        <w:widowControl/>
        <w:spacing w:after="60"/>
      </w:pPr>
      <w:r>
        <w:rPr>
          <w:b/>
          <w:color w:val="003366"/>
        </w:rPr>
        <w:t>DÍA CON MAYOR CONSUMO NOCTURNO - ESC. GABRIELA (03-06-26):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10_06.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Esc. Gabriela registró 12 alerta(s) durante 8 día(s) del periodo analizado. La periodicidad de las alertas es intermitente (más del 20% de los días). Se identificó una proyección de filtración de 30,4 m³ ($38.602), lo que indica un patrón de fuga constante durante el periodo.</w:t>
      </w:r>
    </w:p>
    <w:p/>
    <w:p>
      <w:pPr>
        <w:keepNext/>
        <w:widowControl/>
        <w:spacing w:after="60"/>
      </w:pPr>
      <w:r>
        <w:rPr>
          <w:b/>
          <w:color w:val="003366"/>
        </w:rPr>
        <w:t>DÍA CON MAYOR CONSUMO NOCTURNO - ESC. JUAN MACKENNA (17-06-26):</w:t>
      </w:r>
    </w:p>
    <w:p>
      <w:pPr>
        <w:keepNext/>
        <w:widowControl/>
        <w:spacing w:after="60"/>
        <w:jc w:val="center"/>
      </w:pPr>
      <w:r>
        <w:drawing>
          <wp:inline xmlns:a="http://schemas.openxmlformats.org/drawingml/2006/main" xmlns:pic="http://schemas.openxmlformats.org/drawingml/2006/picture">
            <wp:extent cx="5486400" cy="2704355"/>
            <wp:docPr id="7" name="Picture 7"/>
            <wp:cNvGraphicFramePr>
              <a:graphicFrameLocks noChangeAspect="1"/>
            </wp:cNvGraphicFramePr>
            <a:graphic>
              <a:graphicData uri="http://schemas.openxmlformats.org/drawingml/2006/picture">
                <pic:pic>
                  <pic:nvPicPr>
                    <pic:cNvPr id="0" name="chart_max_nocturnal_000010_07.png"/>
                    <pic:cNvPicPr/>
                  </pic:nvPicPr>
                  <pic:blipFill>
                    <a:blip r:embed="rId16"/>
                    <a:stretch>
                      <a:fillRect/>
                    </a:stretch>
                  </pic:blipFill>
                  <pic:spPr>
                    <a:xfrm>
                      <a:off x="0" y="0"/>
                      <a:ext cx="5486400" cy="2704355"/>
                    </a:xfrm>
                    <a:prstGeom prst="rect"/>
                  </pic:spPr>
                </pic:pic>
              </a:graphicData>
            </a:graphic>
          </wp:inline>
        </w:drawing>
      </w:r>
    </w:p>
    <w:p>
      <w:pPr>
        <w:jc w:val="both"/>
      </w:pPr>
      <w:r>
        <w:rPr>
          <w:color w:val="000000"/>
        </w:rPr>
        <w:t>El nodo Esc. Juan Mackenna registró 3 alerta(s) durante 3 día(s) del periodo analizado. La periodicidad de las alertas es puntual (menos del 20% de los días). Se identificó una proyección de filtración de 356,1 m³ ($452.192), lo que indica un patrón de fuga constante durante el periodo.</w:t>
      </w:r>
    </w:p>
    <w:p/>
    <w:p>
      <w:pPr>
        <w:keepNext/>
        <w:widowControl/>
        <w:spacing w:after="60"/>
      </w:pPr>
      <w:r>
        <w:rPr>
          <w:b/>
          <w:color w:val="003366"/>
        </w:rPr>
        <w:t>DÍA CON MAYOR CONSUMO NOCTURNO - LICEO CHILOÉ (10-06-26):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10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Liceo Chiloé registró 5 alerta(s) durante 5 día(s) del periodo analizado. La periodicidad de las alertas es puntual (menos del 20% de los días). Se identificó una proyección de filtración de 1.614,9 m³ ($2.050.985), lo que indica un patrón de fuga constante durante el periodo.</w:t>
      </w:r>
    </w:p>
    <w:p/>
    <w:p>
      <w:pPr>
        <w:keepNext/>
        <w:widowControl/>
        <w:spacing w:after="60"/>
      </w:pPr>
      <w:r>
        <w:rPr>
          <w:b/>
          <w:color w:val="003366"/>
        </w:rPr>
        <w:t>DÍA CON MAYOR CONSUMO NOCTURNO - ESC. LOS ANDES (03-06-26):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10_09.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Esc. Los Andes registró 8 alerta(s) durante 8 día(s) del periodo analizado. La periodicidad de las alertas es intermitente (más del 20% de los días). Se identificó una proyección de filtración de 1.087,1 m³ ($1.380.578), lo que indica un patrón de fuga constante durante el periodo.</w:t>
      </w:r>
    </w:p>
    <w:p/>
    <w:p>
      <w:pPr>
        <w:keepNext/>
        <w:widowControl/>
        <w:spacing w:after="60"/>
      </w:pPr>
      <w:r>
        <w:rPr>
          <w:b/>
          <w:color w:val="003366"/>
        </w:rPr>
        <w:t>DÍA CON MAYOR CONSUMO NOCTURNO - ESC. NONATO COO (17-06-26):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10_11.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Esc. Nonato Coo registró 6 alerta(s) durante 5 día(s) del periodo analizado. La periodicidad de las alertas es puntual (menos del 20% de los días).</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ESCUELA ANDES DEL SUR (000010-01)</w:t>
      </w:r>
    </w:p>
    <w:p>
      <w:r>
        <w:rPr>
          <w:b/>
        </w:rPr>
        <w:t xml:space="preserve">Consumo nocturno en el periodo: </w:t>
      </w:r>
      <w:r>
        <w:t xml:space="preserve">502,6 m³. </w:t>
      </w:r>
      <w:r>
        <w:rPr>
          <w:b/>
        </w:rPr>
        <w:t xml:space="preserve">Proyección a 30 días (24 h/día): </w:t>
      </w:r>
      <w:r>
        <w:t>1.723,1 m³ ($2.188.314 referencial).</w:t>
      </w:r>
    </w:p>
    <w:p>
      <w:pPr>
        <w:keepNext/>
        <w:widowControl/>
        <w:spacing w:after="60"/>
        <w:jc w:val="center"/>
      </w:pPr>
      <w:r>
        <w:drawing>
          <wp:inline xmlns:a="http://schemas.openxmlformats.org/drawingml/2006/main" xmlns:pic="http://schemas.openxmlformats.org/drawingml/2006/picture">
            <wp:extent cx="5486400" cy="2445387"/>
            <wp:docPr id="11" name="Picture 11"/>
            <wp:cNvGraphicFramePr>
              <a:graphicFrameLocks noChangeAspect="1"/>
            </wp:cNvGraphicFramePr>
            <a:graphic>
              <a:graphicData uri="http://schemas.openxmlformats.org/drawingml/2006/picture">
                <pic:pic>
                  <pic:nvPicPr>
                    <pic:cNvPr id="0" name="app_horario_000010_01.png"/>
                    <pic:cNvPicPr/>
                  </pic:nvPicPr>
                  <pic:blipFill>
                    <a:blip r:embed="rId20"/>
                    <a:stretch>
                      <a:fillRect/>
                    </a:stretch>
                  </pic:blipFill>
                  <pic:spPr>
                    <a:xfrm>
                      <a:off x="0" y="0"/>
                      <a:ext cx="5486400" cy="2445387"/>
                    </a:xfrm>
                    <a:prstGeom prst="rect"/>
                  </pic:spPr>
                </pic:pic>
              </a:graphicData>
            </a:graphic>
          </wp:inline>
        </w:drawing>
      </w:r>
    </w:p>
    <w:p/>
    <w:p>
      <w:pPr>
        <w:keepNext/>
        <w:widowControl/>
        <w:spacing w:after="60"/>
      </w:pPr>
      <w:r>
        <w:rPr>
          <w:b/>
          <w:color w:val="003366"/>
        </w:rPr>
        <w:t>ESC. VILLA INDEPENDENCIA (000010-02)</w:t>
      </w:r>
    </w:p>
    <w:p>
      <w:r>
        <w:rPr>
          <w:b/>
        </w:rPr>
        <w:t xml:space="preserve">Consumo nocturno en el periodo: </w:t>
      </w:r>
      <w:r>
        <w:t xml:space="preserve">485,1 m³. </w:t>
      </w:r>
      <w:r>
        <w:rPr>
          <w:b/>
        </w:rPr>
        <w:t xml:space="preserve">Proyección a 30 días (24 h/día): </w:t>
      </w:r>
      <w:r>
        <w:t>1.663,4 m³ ($2.112.478 referencial).</w:t>
      </w:r>
    </w:p>
    <w:p>
      <w:pPr>
        <w:keepNext/>
        <w:widowControl/>
        <w:spacing w:after="60"/>
        <w:jc w:val="center"/>
      </w:pPr>
      <w:r>
        <w:drawing>
          <wp:inline xmlns:a="http://schemas.openxmlformats.org/drawingml/2006/main" xmlns:pic="http://schemas.openxmlformats.org/drawingml/2006/picture">
            <wp:extent cx="5486400" cy="2445387"/>
            <wp:docPr id="12" name="Picture 12"/>
            <wp:cNvGraphicFramePr>
              <a:graphicFrameLocks noChangeAspect="1"/>
            </wp:cNvGraphicFramePr>
            <a:graphic>
              <a:graphicData uri="http://schemas.openxmlformats.org/drawingml/2006/picture">
                <pic:pic>
                  <pic:nvPicPr>
                    <pic:cNvPr id="0" name="app_horario_000010_02.png"/>
                    <pic:cNvPicPr/>
                  </pic:nvPicPr>
                  <pic:blipFill>
                    <a:blip r:embed="rId21"/>
                    <a:stretch>
                      <a:fillRect/>
                    </a:stretch>
                  </pic:blipFill>
                  <pic:spPr>
                    <a:xfrm>
                      <a:off x="0" y="0"/>
                      <a:ext cx="5486400" cy="2445387"/>
                    </a:xfrm>
                    <a:prstGeom prst="rect"/>
                  </pic:spPr>
                </pic:pic>
              </a:graphicData>
            </a:graphic>
          </wp:inline>
        </w:drawing>
      </w:r>
    </w:p>
    <w:p/>
    <w:p>
      <w:pPr>
        <w:keepNext/>
        <w:widowControl/>
        <w:spacing w:after="60"/>
      </w:pPr>
      <w:r>
        <w:rPr>
          <w:b/>
          <w:color w:val="003366"/>
        </w:rPr>
        <w:t>CONSOLIDADA (000010-10)</w:t>
      </w:r>
    </w:p>
    <w:p>
      <w:r>
        <w:rPr>
          <w:b/>
        </w:rPr>
        <w:t xml:space="preserve">Consumo nocturno en el periodo: </w:t>
      </w:r>
      <w:r>
        <w:t xml:space="preserve">181,8 m³. </w:t>
      </w:r>
      <w:r>
        <w:rPr>
          <w:b/>
        </w:rPr>
        <w:t xml:space="preserve">Proyección a 30 días (24 h/día): </w:t>
      </w:r>
      <w:r>
        <w:t>623,2 m³ ($791.491 referencial).</w:t>
      </w:r>
    </w:p>
    <w:p>
      <w:pPr>
        <w:keepNext/>
        <w:widowControl/>
        <w:spacing w:after="60"/>
        <w:jc w:val="center"/>
      </w:pPr>
      <w:r>
        <w:drawing>
          <wp:inline xmlns:a="http://schemas.openxmlformats.org/drawingml/2006/main" xmlns:pic="http://schemas.openxmlformats.org/drawingml/2006/picture">
            <wp:extent cx="5486400" cy="2445387"/>
            <wp:docPr id="13" name="Picture 13"/>
            <wp:cNvGraphicFramePr>
              <a:graphicFrameLocks noChangeAspect="1"/>
            </wp:cNvGraphicFramePr>
            <a:graphic>
              <a:graphicData uri="http://schemas.openxmlformats.org/drawingml/2006/picture">
                <pic:pic>
                  <pic:nvPicPr>
                    <pic:cNvPr id="0" name="app_horario_000010_10.png"/>
                    <pic:cNvPicPr/>
                  </pic:nvPicPr>
                  <pic:blipFill>
                    <a:blip r:embed="rId22"/>
                    <a:stretch>
                      <a:fillRect/>
                    </a:stretch>
                  </pic:blipFill>
                  <pic:spPr>
                    <a:xfrm>
                      <a:off x="0" y="0"/>
                      <a:ext cx="5486400" cy="2445387"/>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4" name="Picture 14"/>
            <wp:cNvGraphicFramePr>
              <a:graphicFrameLocks noChangeAspect="1"/>
            </wp:cNvGraphicFramePr>
            <a:graphic>
              <a:graphicData uri="http://schemas.openxmlformats.org/drawingml/2006/picture">
                <pic:pic>
                  <pic:nvPicPr>
                    <pic:cNvPr id="0" name="chart_comparacion_mensual_agregada.png"/>
                    <pic:cNvPicPr/>
                  </pic:nvPicPr>
                  <pic:blipFill>
                    <a:blip r:embed="rId23"/>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Esc. Villa Independencia, Liceo Chiloé, Escuela Andes del SUR, Esc. Los Andes, Consolidada, Esc. Luis Matte Larraín, Esc. Juan Mackenna, Colegio Maipo y Esc. Padre Hurtado.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