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0"/>
        </w:rPr>
        <w:t>Análisis Corporación Puente Alto Esc. Juan Mackenna</w:t>
      </w:r>
    </w:p>
    <w:p>
      <w:pPr>
        <w:jc w:val="center"/>
      </w:pPr>
      <w:r>
        <w:t>MONITOREO WES</w:t>
        <w:br/>
        <w:t>Esc. Juan Mackenna</w:t>
        <w:br/>
        <w:t>Rango: 01-04-26 - 30-04-26</w:t>
        <w:br/>
        <w:t>Generado: 05-05-26 16:59</w:t>
      </w:r>
    </w:p>
    <w:p>
      <w:pPr>
        <w:pStyle w:val="Heading1"/>
        <w:keepNext/>
        <w:widowControl/>
        <w:spacing w:after="60"/>
      </w:pPr>
      <w:r>
        <w:rPr>
          <w:b/>
          <w:color w:val="003366"/>
        </w:rPr>
        <w:t>RESUMEN EJECUTIVO</w:t>
      </w:r>
    </w:p>
    <w:p>
      <w:r>
        <w:t>Consumo total: 425,3 m³.</w:t>
        <w:br/>
      </w:r>
      <w:r>
        <w:t>Promedio diario: 14,2 m³.</w:t>
        <w:br/>
      </w:r>
      <w:r>
        <w:t>Número de días del periodo del reporte: 30.</w:t>
        <w:br/>
      </w:r>
      <w:r>
        <w:t>Día pico: 01-04-26 (24,6 m³).</w:t>
        <w:br/>
      </w:r>
      <w:r>
        <w:t>Número de alertas de consumo nocturno: 15.</w:t>
        <w:br/>
      </w:r>
    </w:p>
    <w:p>
      <w:pPr>
        <w:pStyle w:val="Heading1"/>
        <w:keepNext/>
        <w:widowControl/>
        <w:spacing w:after="60"/>
      </w:pPr>
      <w:r>
        <w:rPr>
          <w:b/>
          <w:color w:val="003366"/>
        </w:rPr>
        <w:t>CONSUMO</w:t>
      </w:r>
    </w:p>
    <w:p>
      <w:pPr>
        <w:jc w:val="both"/>
      </w:pPr>
      <w:r>
        <w:rPr>
          <w:color w:val="000000"/>
        </w:rPr>
        <w:t>En la gráfica se representan 30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10-07.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miércoles 01-04-26 con 24,6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10-07.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6 de abril de 2026 hasta el domingo 26 de abril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10-07.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10-07.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20-04-26: Aumento del 1.330,1% (de 1,6 m³ a 22,3 m³). • 13-04-26: Aumento del 1.057,1% (de 1,7 m³ a 19,4 m³). El día pico (01-04-26) registró un consumo de 24,6 m³, lo que representa un 73,9% por encima del promedio diario (14,2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877"/>
        <w:gridCol w:w="3323"/>
      </w:tblGrid>
      <w:tr>
        <w:tc>
          <w:tcPr>
            <w:tcW w:type="dxa" w:w="4320"/>
            <w:shd w:val="clear" w:fill="D9E1F2"/>
            <w:noWrap/>
          </w:tcPr>
          <w:p>
            <w:r>
              <w:t>Total (m³)</w:t>
            </w:r>
          </w:p>
        </w:tc>
        <w:tc>
          <w:tcPr>
            <w:tcW w:type="dxa" w:w="4320"/>
            <w:shd w:val="clear" w:fill="D9E1F2"/>
            <w:noWrap/>
          </w:tcPr>
          <w:p>
            <w:r>
              <w:t>425,3</w:t>
            </w:r>
          </w:p>
        </w:tc>
      </w:tr>
      <w:tr>
        <w:tc>
          <w:tcPr>
            <w:tcW w:type="dxa" w:w="4320"/>
            <w:noWrap/>
          </w:tcPr>
          <w:p>
            <w:r>
              <w:t>Promedio diario (m³)</w:t>
            </w:r>
          </w:p>
        </w:tc>
        <w:tc>
          <w:tcPr>
            <w:tcW w:type="dxa" w:w="4320"/>
            <w:noWrap/>
          </w:tcPr>
          <w:p>
            <w:r>
              <w:t>14,2</w:t>
            </w:r>
          </w:p>
        </w:tc>
      </w:tr>
      <w:tr>
        <w:tc>
          <w:tcPr>
            <w:tcW w:type="dxa" w:w="4320"/>
            <w:noWrap/>
          </w:tcPr>
          <w:p>
            <w:r>
              <w:t>Promedio mensual (m³)</w:t>
            </w:r>
          </w:p>
        </w:tc>
        <w:tc>
          <w:tcPr>
            <w:tcW w:type="dxa" w:w="4320"/>
            <w:noWrap/>
          </w:tcPr>
          <w:p>
            <w:r>
              <w:t>425,3</w:t>
            </w:r>
          </w:p>
        </w:tc>
      </w:tr>
      <w:tr>
        <w:tc>
          <w:tcPr>
            <w:tcW w:type="dxa" w:w="4320"/>
            <w:noWrap/>
          </w:tcPr>
          <w:p>
            <w:r>
              <w:t>Máximo diario</w:t>
            </w:r>
          </w:p>
        </w:tc>
        <w:tc>
          <w:tcPr>
            <w:tcW w:type="dxa" w:w="4320"/>
            <w:noWrap/>
          </w:tcPr>
          <w:p>
            <w:r>
              <w:t>24,6 m³ (01-04-26)</w:t>
            </w:r>
          </w:p>
        </w:tc>
      </w:tr>
      <w:tr>
        <w:tc>
          <w:tcPr>
            <w:tcW w:type="dxa" w:w="4320"/>
            <w:noWrap/>
          </w:tcPr>
          <w:p>
            <w:r>
              <w:t>Mínimo diario</w:t>
            </w:r>
          </w:p>
        </w:tc>
        <w:tc>
          <w:tcPr>
            <w:tcW w:type="dxa" w:w="4320"/>
            <w:noWrap/>
          </w:tcPr>
          <w:p>
            <w:r>
              <w:t>1,4 m³ (18-04-26)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8044"/>
        <w:gridCol w:w="1316"/>
      </w:tblGrid>
      <w:tr>
        <w:tc>
          <w:tcPr>
            <w:tcW w:type="dxa" w:w="4320"/>
            <w:shd w:val="clear" w:fill="D9E1F2"/>
            <w:noWrap/>
          </w:tcPr>
          <w:p>
            <w:r>
              <w:t>Número de días con consumo nocturno (00:00–06:59, hora Chile)</w:t>
            </w:r>
          </w:p>
        </w:tc>
        <w:tc>
          <w:tcPr>
            <w:tcW w:type="dxa" w:w="4320"/>
            <w:shd w:val="clear" w:fill="D9E1F2"/>
            <w:noWrap/>
          </w:tcPr>
          <w:p>
            <w:r>
              <w:t>30</w:t>
            </w:r>
          </w:p>
        </w:tc>
      </w:tr>
      <w:tr>
        <w:tc>
          <w:tcPr>
            <w:tcW w:type="dxa" w:w="4320"/>
            <w:noWrap/>
          </w:tcPr>
          <w:p>
            <w:r>
              <w:t>Número de días sin consumo nocturno (con serie horaria ese día)</w:t>
            </w:r>
          </w:p>
        </w:tc>
        <w:tc>
          <w:tcPr>
            <w:tcW w:type="dxa" w:w="4320"/>
            <w:noWrap/>
          </w:tcPr>
          <w:p>
            <w:r>
              <w:t>0</w:t>
            </w:r>
          </w:p>
        </w:tc>
      </w:tr>
      <w:tr>
        <w:tc>
          <w:tcPr>
            <w:tcW w:type="dxa" w:w="4320"/>
            <w:noWrap/>
          </w:tcPr>
          <w:p>
            <w:r>
              <w:t>Consumo nocturno (m³)</w:t>
            </w:r>
          </w:p>
        </w:tc>
        <w:tc>
          <w:tcPr>
            <w:tcW w:type="dxa" w:w="4320"/>
            <w:noWrap/>
          </w:tcPr>
          <w:p>
            <w:r>
              <w:t>93,4</w:t>
            </w:r>
          </w:p>
        </w:tc>
      </w:tr>
      <w:tr>
        <w:tc>
          <w:tcPr>
            <w:tcW w:type="dxa" w:w="4320"/>
            <w:noWrap/>
          </w:tcPr>
          <w:p>
            <w:r>
              <w:t>Consumo diurno efectivo (m³)</w:t>
            </w:r>
          </w:p>
        </w:tc>
        <w:tc>
          <w:tcPr>
            <w:tcW w:type="dxa" w:w="4320"/>
            <w:noWrap/>
          </w:tcPr>
          <w:p>
            <w:r>
              <w:t>332</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5943600" cy="5609027"/>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5943600" cy="5609027"/>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Esc. Juan Mackenna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3534"/>
            <wp:docPr id="6" name="Picture 6"/>
            <wp:cNvGraphicFramePr>
              <a:graphicFrameLocks noChangeAspect="1"/>
            </wp:cNvGraphicFramePr>
            <a:graphic>
              <a:graphicData uri="http://schemas.openxmlformats.org/drawingml/2006/picture">
                <pic:pic>
                  <pic:nvPicPr>
                    <pic:cNvPr id="0" name="chart_fugas_000010-07.png"/>
                    <pic:cNvPicPr/>
                  </pic:nvPicPr>
                  <pic:blipFill>
                    <a:blip r:embed="rId15"/>
                    <a:stretch>
                      <a:fillRect/>
                    </a:stretch>
                  </pic:blipFill>
                  <pic:spPr>
                    <a:xfrm>
                      <a:off x="0" y="0"/>
                      <a:ext cx="5486400" cy="1683534"/>
                    </a:xfrm>
                    <a:prstGeom prst="rect"/>
                  </pic:spPr>
                </pic:pic>
              </a:graphicData>
            </a:graphic>
          </wp:inline>
        </w:drawing>
      </w:r>
    </w:p>
    <w:p/>
    <w:p>
      <w:pPr>
        <w:keepNext/>
        <w:widowControl/>
        <w:spacing w:after="60"/>
      </w:pPr>
      <w:r>
        <w:rPr>
          <w:b/>
          <w:color w:val="003366"/>
        </w:rPr>
        <w:t>DÍA CON MAYOR CONSUMO NOCTURNO (06-04-26):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10-07.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datos horarios que presentan consumo nocturno es igual o superior al 75% (100%) y el periodo del reporte es mayor o igual a 7 días (30 días). En base a estas condiciones, se realiza un análisis del consumo nocturno: el consumo nocturno registrado durante el periodo analizado presenta un patrón consistente que permite proyectar el volumen de agua asociado a la ventana nocturna (horas 00:00 a 06:00 inclusive, 7 intervalos horarios por día) a lo largo del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72"/>
        <w:gridCol w:w="1388"/>
      </w:tblGrid>
      <w:tr>
        <w:tc>
          <w:tcPr>
            <w:tcW w:type="dxa" w:w="4320"/>
            <w:shd w:val="clear" w:fill="D9E1F2"/>
            <w:noWrap/>
          </w:tcPr>
          <w:p>
            <w:r>
              <w:t>Promedio hora consumo nocturno (m³/h)</w:t>
            </w:r>
          </w:p>
        </w:tc>
        <w:tc>
          <w:tcPr>
            <w:tcW w:type="dxa" w:w="4320"/>
            <w:shd w:val="clear" w:fill="D9E1F2"/>
            <w:noWrap/>
          </w:tcPr>
          <w:p>
            <w:r>
              <w:t>0,44</w:t>
            </w:r>
          </w:p>
        </w:tc>
      </w:tr>
      <w:tr>
        <w:tc>
          <w:tcPr>
            <w:tcW w:type="dxa" w:w="4320"/>
            <w:noWrap/>
          </w:tcPr>
          <w:p>
            <w:r>
              <w:t>Proyección día filtración (m³/día)</w:t>
            </w:r>
          </w:p>
        </w:tc>
        <w:tc>
          <w:tcPr>
            <w:tcW w:type="dxa" w:w="4320"/>
            <w:noWrap/>
          </w:tcPr>
          <w:p>
            <w:r>
              <w:t>10,7</w:t>
            </w:r>
          </w:p>
        </w:tc>
      </w:tr>
      <w:tr>
        <w:tc>
          <w:tcPr>
            <w:tcW w:type="dxa" w:w="4320"/>
            <w:noWrap/>
          </w:tcPr>
          <w:p>
            <w:r>
              <w:t>Proyección filtración del periodo (m³)</w:t>
            </w:r>
          </w:p>
        </w:tc>
        <w:tc>
          <w:tcPr>
            <w:tcW w:type="dxa" w:w="4320"/>
            <w:noWrap/>
          </w:tcPr>
          <w:p>
            <w:r>
              <w:t>320,1</w:t>
            </w:r>
          </w:p>
        </w:tc>
      </w:tr>
      <w:tr>
        <w:tc>
          <w:tcPr>
            <w:tcW w:type="dxa" w:w="4320"/>
            <w:noWrap/>
          </w:tcPr>
          <w:p>
            <w:r>
              <w:t>Consumo efectivo del periodo (m³)</w:t>
            </w:r>
          </w:p>
        </w:tc>
        <w:tc>
          <w:tcPr>
            <w:tcW w:type="dxa" w:w="4320"/>
            <w:noWrap/>
          </w:tcPr>
          <w:p>
            <w:r>
              <w:t>105,2</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