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Los Andes</w:t>
      </w:r>
    </w:p>
    <w:p>
      <w:pPr>
        <w:jc w:val="center"/>
      </w:pPr>
      <w:r>
        <w:t>MONITOREO WES</w:t>
        <w:br/>
        <w:t>Esc. Los Andes</w:t>
        <w:br/>
        <w:t>Rango: 01-02-26 - 28-02-26</w:t>
        <w:br/>
        <w:t>Generado: 05-03-26 18:09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468,6 m³.</w:t>
        <w:br/>
      </w:r>
      <w:r>
        <w:t>Promedio diario: 16,7 m³.</w:t>
        <w:br/>
      </w:r>
      <w:r>
        <w:t>Número de días del periodo del reporte: 28.</w:t>
        <w:br/>
      </w:r>
      <w:r>
        <w:t>Día pico: 19-02-26 (173,1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19-02-26 con 173,1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14-02-26: Aumento del 64.100% (de 0,1 m³ a 64,2 m³). • 04-02-26: Aumento del 757,1% (de 1,4 m³ a 12 m³). El día pico (19-02-26) registró un consumo de 173,1 m³, lo que representa un 934,3% por encima del promedio diario (16,7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468,6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16,7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502,1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173,1 m³ (19-02-26)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(10-02-26)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119,7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348,9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0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