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Análisis Corporación Puente Alto Esc. Los Andes</w:t>
      </w:r>
    </w:p>
    <w:p>
      <w:pPr>
        <w:jc w:val="center"/>
      </w:pPr>
      <w:r>
        <w:t>MONITOREO WES</w:t>
        <w:br/>
        <w:t>Esc. Los Andes</w:t>
        <w:br/>
        <w:t>Rango: 01-04-26 - 30-04-26</w:t>
        <w:br/>
        <w:t>Generado: 05-05-26 15:58</w:t>
      </w:r>
    </w:p>
    <w:p>
      <w:pPr>
        <w:pStyle w:val="Heading1"/>
        <w:keepNext/>
        <w:widowControl/>
        <w:spacing w:after="60"/>
      </w:pPr>
      <w:r>
        <w:rPr>
          <w:b/>
          <w:color w:val="003366"/>
        </w:rPr>
        <w:t>RESUMEN EJECUTIVO</w:t>
      </w:r>
    </w:p>
    <w:p>
      <w:r>
        <w:t>Consumo total: 152,9 m³.</w:t>
        <w:br/>
      </w:r>
      <w:r>
        <w:t>Promedio diario: 6,4 m³.</w:t>
        <w:br/>
      </w:r>
      <w:r>
        <w:t>Número de días del periodo del reporte: 30.</w:t>
        <w:br/>
      </w:r>
      <w:r>
        <w:t>Día pico: 20-04-26 (14,6 m³).</w:t>
        <w:br/>
      </w:r>
      <w:r>
        <w:t>Número de alertas de consumo nocturno: 12.</w:t>
        <w:br/>
      </w:r>
    </w:p>
    <w:p>
      <w:pPr>
        <w:pStyle w:val="Heading1"/>
        <w:keepNext/>
        <w:widowControl/>
        <w:spacing w:after="60"/>
      </w:pPr>
      <w:r>
        <w:rPr>
          <w:b/>
          <w:color w:val="003366"/>
        </w:rPr>
        <w:t>CONSUMO</w:t>
      </w:r>
    </w:p>
    <w:p>
      <w:pPr>
        <w:jc w:val="both"/>
      </w:pPr>
      <w:r>
        <w:rPr>
          <w:color w:val="000000"/>
        </w:rPr>
        <w:t>En la gráfica se representan 24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9.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lunes 20-04-26 con 14,6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9.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2 semana(s) completa(s) (desde el lunes 6 de abril de 2026 hasta el domingo 19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9.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9.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13-04-26: Aumento del 720% (de 0,5 m³ a 4,1 m³). • 12-04-26: Aumento del 400% (de 0,1 m³ a 0,5 m³). El día pico (20-04-26) registró un consumo de 14,6 m³, lo que representa un 129,2% por encima del promedio diario (6,4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152,9</w:t>
            </w:r>
          </w:p>
        </w:tc>
      </w:tr>
      <w:tr>
        <w:tc>
          <w:tcPr>
            <w:tcW w:type="dxa" w:w="4320"/>
            <w:noWrap/>
          </w:tcPr>
          <w:p>
            <w:r>
              <w:t>Promedio diario (m³)</w:t>
            </w:r>
          </w:p>
        </w:tc>
        <w:tc>
          <w:tcPr>
            <w:tcW w:type="dxa" w:w="4320"/>
            <w:noWrap/>
          </w:tcPr>
          <w:p>
            <w:r>
              <w:t>6,4</w:t>
            </w:r>
          </w:p>
        </w:tc>
      </w:tr>
      <w:tr>
        <w:tc>
          <w:tcPr>
            <w:tcW w:type="dxa" w:w="4320"/>
            <w:noWrap/>
          </w:tcPr>
          <w:p>
            <w:r>
              <w:t>Promedio mensual (m³)</w:t>
            </w:r>
          </w:p>
        </w:tc>
        <w:tc>
          <w:tcPr>
            <w:tcW w:type="dxa" w:w="4320"/>
            <w:noWrap/>
          </w:tcPr>
          <w:p>
            <w:r>
              <w:t>191,1</w:t>
            </w:r>
          </w:p>
        </w:tc>
      </w:tr>
      <w:tr>
        <w:tc>
          <w:tcPr>
            <w:tcW w:type="dxa" w:w="4320"/>
            <w:noWrap/>
          </w:tcPr>
          <w:p>
            <w:r>
              <w:t>Máximo diario</w:t>
            </w:r>
          </w:p>
        </w:tc>
        <w:tc>
          <w:tcPr>
            <w:tcW w:type="dxa" w:w="4320"/>
            <w:noWrap/>
          </w:tcPr>
          <w:p>
            <w:r>
              <w:t>14,6 m³ (20-04-26)</w:t>
            </w:r>
          </w:p>
        </w:tc>
      </w:tr>
      <w:tr>
        <w:tc>
          <w:tcPr>
            <w:tcW w:type="dxa" w:w="4320"/>
            <w:noWrap/>
          </w:tcPr>
          <w:p>
            <w:r>
              <w:t>Mínimo diario</w:t>
            </w:r>
          </w:p>
        </w:tc>
        <w:tc>
          <w:tcPr>
            <w:tcW w:type="dxa" w:w="4320"/>
            <w:noWrap/>
          </w:tcPr>
          <w:p>
            <w:r>
              <w:t>0 m³ (03-04-26)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20</w:t>
            </w:r>
          </w:p>
        </w:tc>
      </w:tr>
      <w:tr>
        <w:tc>
          <w:tcPr>
            <w:tcW w:type="dxa" w:w="4320"/>
            <w:noWrap/>
          </w:tcPr>
          <w:p>
            <w:r>
              <w:t>Número de días sin consumo nocturno (con serie horaria ese día)</w:t>
            </w:r>
          </w:p>
        </w:tc>
        <w:tc>
          <w:tcPr>
            <w:tcW w:type="dxa" w:w="4320"/>
            <w:noWrap/>
          </w:tcPr>
          <w:p>
            <w:r>
              <w:t>6</w:t>
            </w:r>
          </w:p>
        </w:tc>
      </w:tr>
      <w:tr>
        <w:tc>
          <w:tcPr>
            <w:tcW w:type="dxa" w:w="4320"/>
            <w:noWrap/>
          </w:tcPr>
          <w:p>
            <w:r>
              <w:t>Días sin datos horarios (sin serie ese día)</w:t>
            </w:r>
          </w:p>
        </w:tc>
        <w:tc>
          <w:tcPr>
            <w:tcW w:type="dxa" w:w="4320"/>
            <w:noWrap/>
          </w:tcPr>
          <w:p>
            <w:r>
              <w:t>4</w:t>
            </w:r>
          </w:p>
        </w:tc>
      </w:tr>
      <w:tr>
        <w:tc>
          <w:tcPr>
            <w:tcW w:type="dxa" w:w="4320"/>
            <w:noWrap/>
          </w:tcPr>
          <w:p>
            <w:r>
              <w:t>Consumo nocturno (m³)</w:t>
            </w:r>
          </w:p>
        </w:tc>
        <w:tc>
          <w:tcPr>
            <w:tcW w:type="dxa" w:w="4320"/>
            <w:noWrap/>
          </w:tcPr>
          <w:p>
            <w:r>
              <w:t>42,1</w:t>
            </w:r>
          </w:p>
        </w:tc>
      </w:tr>
      <w:tr>
        <w:tc>
          <w:tcPr>
            <w:tcW w:type="dxa" w:w="4320"/>
            <w:noWrap/>
          </w:tcPr>
          <w:p>
            <w:r>
              <w:t>Consumo diurno efectivo (m³)</w:t>
            </w:r>
          </w:p>
        </w:tc>
        <w:tc>
          <w:tcPr>
            <w:tcW w:type="dxa" w:w="4320"/>
            <w:noWrap/>
          </w:tcPr>
          <w:p>
            <w:r>
              <w:t>111,5</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133109"/>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5133109"/>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Esc. Los Andes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10-09.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(21-04-26):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09.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(80%)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0,2</w:t>
            </w:r>
          </w:p>
        </w:tc>
      </w:tr>
      <w:tr>
        <w:tc>
          <w:tcPr>
            <w:tcW w:type="dxa" w:w="4320"/>
            <w:noWrap/>
          </w:tcPr>
          <w:p>
            <w:r>
              <w:t>Proyección día filtración (m³/día)</w:t>
            </w:r>
          </w:p>
        </w:tc>
        <w:tc>
          <w:tcPr>
            <w:tcW w:type="dxa" w:w="4320"/>
            <w:noWrap/>
          </w:tcPr>
          <w:p>
            <w:r>
              <w:t>4,8</w:t>
            </w:r>
          </w:p>
        </w:tc>
      </w:tr>
      <w:tr>
        <w:tc>
          <w:tcPr>
            <w:tcW w:type="dxa" w:w="4320"/>
            <w:noWrap/>
          </w:tcPr>
          <w:p>
            <w:r>
              <w:t>Proyección filtración del periodo (m³)</w:t>
            </w:r>
          </w:p>
        </w:tc>
        <w:tc>
          <w:tcPr>
            <w:tcW w:type="dxa" w:w="4320"/>
            <w:noWrap/>
          </w:tcPr>
          <w:p>
            <w:r>
              <w:t>144,4</w:t>
            </w:r>
          </w:p>
        </w:tc>
      </w:tr>
      <w:tr>
        <w:tc>
          <w:tcPr>
            <w:tcW w:type="dxa" w:w="4320"/>
            <w:noWrap/>
          </w:tcPr>
          <w:p>
            <w:r>
              <w:t>Consumo efectivo del periodo (m³)</w:t>
            </w:r>
          </w:p>
        </w:tc>
        <w:tc>
          <w:tcPr>
            <w:tcW w:type="dxa" w:w="4320"/>
            <w:noWrap/>
          </w:tcPr>
          <w:p>
            <w:r>
              <w:t>8,5</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