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Luis Matte Larraín</w:t>
      </w:r>
    </w:p>
    <w:p>
      <w:pPr>
        <w:jc w:val="center"/>
      </w:pPr>
      <w:r>
        <w:t>MONITOREO WES</w:t>
        <w:br/>
        <w:t>Esc. Luis Matte Larraín</w:t>
        <w:br/>
        <w:t>Rango: 01-04-26 - 28-04-26</w:t>
        <w:br/>
        <w:t>Generado: 28-04-26 21:07</w:t>
      </w:r>
    </w:p>
    <w:p>
      <w:pPr>
        <w:pStyle w:val="Heading1"/>
        <w:keepNext/>
        <w:widowControl/>
        <w:spacing w:after="60"/>
      </w:pPr>
      <w:r>
        <w:rPr>
          <w:b/>
          <w:color w:val="003366"/>
        </w:rPr>
        <w:t>RESUMEN EJECUTIVO</w:t>
      </w:r>
    </w:p>
    <w:p>
      <w:r>
        <w:t>Consumo total: 665,8 m³.</w:t>
        <w:br/>
      </w:r>
      <w:r>
        <w:t>Promedio diario: 23,8 m³.</w:t>
        <w:br/>
      </w:r>
      <w:r>
        <w:t>Número de días del periodo del reporte: 28.</w:t>
        <w:br/>
      </w:r>
      <w:r>
        <w:t>Día pico: 27-04-26 (60,6 m³).</w:t>
        <w:br/>
      </w:r>
      <w:r>
        <w:t>Número de alertas de consumo nocturno: 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60,6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2.265,5% (de 0,6 m³ a 13 m³). • 06-04-26: Aumento del 857,8% (de 1,2 m³ a 11,1 m³). El equipo de monitoreo WES alertó este evento. El día pico (27-04-26) registró un consumo de 60,6 m³, lo que representa un 154,9% por encima del promedio diario (23,8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665,8</w:t>
            </w:r>
          </w:p>
        </w:tc>
      </w:tr>
      <w:tr>
        <w:tc>
          <w:tcPr>
            <w:tcW w:type="dxa" w:w="4320"/>
            <w:noWrap/>
          </w:tcPr>
          <w:p>
            <w:r>
              <w:t>Promedio diario (m³)</w:t>
            </w:r>
          </w:p>
        </w:tc>
        <w:tc>
          <w:tcPr>
            <w:tcW w:type="dxa" w:w="4320"/>
            <w:noWrap/>
          </w:tcPr>
          <w:p>
            <w:r>
              <w:t>23,8</w:t>
            </w:r>
          </w:p>
        </w:tc>
      </w:tr>
      <w:tr>
        <w:tc>
          <w:tcPr>
            <w:tcW w:type="dxa" w:w="4320"/>
            <w:noWrap/>
          </w:tcPr>
          <w:p>
            <w:r>
              <w:t>Promedio mensual (m³)</w:t>
            </w:r>
          </w:p>
        </w:tc>
        <w:tc>
          <w:tcPr>
            <w:tcW w:type="dxa" w:w="4320"/>
            <w:noWrap/>
          </w:tcPr>
          <w:p>
            <w:r>
              <w:t>713,4</w:t>
            </w:r>
          </w:p>
        </w:tc>
      </w:tr>
      <w:tr>
        <w:tc>
          <w:tcPr>
            <w:tcW w:type="dxa" w:w="4320"/>
            <w:noWrap/>
          </w:tcPr>
          <w:p>
            <w:r>
              <w:t>Máximo diario</w:t>
            </w:r>
          </w:p>
        </w:tc>
        <w:tc>
          <w:tcPr>
            <w:tcW w:type="dxa" w:w="4320"/>
            <w:noWrap/>
          </w:tcPr>
          <w:p>
            <w:r>
              <w:t>60,6 m³ (27-04-26)</w:t>
            </w:r>
          </w:p>
        </w:tc>
      </w:tr>
      <w:tr>
        <w:tc>
          <w:tcPr>
            <w:tcW w:type="dxa" w:w="4320"/>
            <w:noWrap/>
          </w:tcPr>
          <w:p>
            <w:r>
              <w:t>Mínimo diario</w:t>
            </w:r>
          </w:p>
        </w:tc>
        <w:tc>
          <w:tcPr>
            <w:tcW w:type="dxa" w:w="4320"/>
            <w:noWrap/>
          </w:tcPr>
          <w:p>
            <w:r>
              <w:t>0,6 m³ (12-04-26)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196</w:t>
            </w:r>
          </w:p>
        </w:tc>
      </w:tr>
      <w:tr>
        <w:tc>
          <w:tcPr>
            <w:tcW w:type="dxa" w:w="4320"/>
            <w:noWrap/>
          </w:tcPr>
          <w:p>
            <w:r>
              <w:t>Consumo diurno efectivo (m³)</w:t>
            </w:r>
          </w:p>
        </w:tc>
        <w:tc>
          <w:tcPr>
            <w:tcW w:type="dxa" w:w="4320"/>
            <w:noWrap/>
          </w:tcPr>
          <w:p>
            <w:r>
              <w:t>469,7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99499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99499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Luis Matte Larraín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5.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(09-04-26):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1</w:t>
            </w:r>
          </w:p>
        </w:tc>
      </w:tr>
      <w:tr>
        <w:tc>
          <w:tcPr>
            <w:tcW w:type="dxa" w:w="4320"/>
            <w:noWrap/>
          </w:tcPr>
          <w:p>
            <w:r>
              <w:t>Proyección día filtración (m³/día)</w:t>
            </w:r>
          </w:p>
        </w:tc>
        <w:tc>
          <w:tcPr>
            <w:tcW w:type="dxa" w:w="4320"/>
            <w:noWrap/>
          </w:tcPr>
          <w:p>
            <w:r>
              <w:t>24</w:t>
            </w:r>
          </w:p>
        </w:tc>
      </w:tr>
      <w:tr>
        <w:tc>
          <w:tcPr>
            <w:tcW w:type="dxa" w:w="4320"/>
            <w:noWrap/>
          </w:tcPr>
          <w:p>
            <w:r>
              <w:t>Proyección filtración del periodo (m³)</w:t>
            </w:r>
          </w:p>
        </w:tc>
        <w:tc>
          <w:tcPr>
            <w:tcW w:type="dxa" w:w="4320"/>
            <w:noWrap/>
          </w:tcPr>
          <w:p>
            <w:r>
              <w:t>671</w:t>
            </w:r>
          </w:p>
        </w:tc>
      </w:tr>
      <w:tr>
        <w:tc>
          <w:tcPr>
            <w:tcW w:type="dxa" w:w="4320"/>
            <w:noWrap/>
          </w:tcPr>
          <w:p>
            <w:r>
              <w:t>Consumo efectivo del periodo (m³)</w:t>
            </w:r>
          </w:p>
        </w:tc>
        <w:tc>
          <w:tcPr>
            <w:tcW w:type="dxa" w:w="4320"/>
            <w:noWrap/>
          </w:tcPr>
          <w:p>
            <w:r>
              <w:t>-5,2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