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Esc. Nonato Coo</w:t>
      </w:r>
    </w:p>
    <w:p>
      <w:pPr>
        <w:jc w:val="center"/>
      </w:pPr>
      <w:r>
        <w:t>MONITOREO WES</w:t>
        <w:br/>
        <w:t>Esc. Nonato Coo</w:t>
        <w:br/>
        <w:t>Rango: 01-04-26 - 28-04-26</w:t>
        <w:br/>
        <w:t>Generado: 28-04-26 21:08</w:t>
      </w:r>
    </w:p>
    <w:p>
      <w:pPr>
        <w:pStyle w:val="Heading1"/>
        <w:keepNext/>
        <w:widowControl/>
        <w:spacing w:after="60"/>
      </w:pPr>
      <w:r>
        <w:rPr>
          <w:b/>
          <w:color w:val="003366"/>
        </w:rPr>
        <w:t>RESUMEN EJECUTIVO</w:t>
      </w:r>
    </w:p>
    <w:p>
      <w:r>
        <w:t>Consumo total: 247,7 m³.</w:t>
        <w:br/>
      </w:r>
      <w:r>
        <w:t>Promedio diario: 8,8 m³.</w:t>
        <w:br/>
      </w:r>
      <w:r>
        <w:t>Número de días del periodo del reporte: 28.</w:t>
        <w:br/>
      </w:r>
      <w:r>
        <w:t>Día pico: 01-04-26 (18,7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1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01-04-26 con 18,7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1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hourly_max_000010-11.png"/>
                    <pic:cNvPicPr/>
                  </pic:nvPicPr>
                  <pic:blipFill>
                    <a:blip r:embed="rId12"/>
                    <a:stretch>
                      <a:fillRect/>
                    </a:stretch>
                  </pic:blipFill>
                  <pic:spPr>
                    <a:xfrm>
                      <a:off x="0" y="0"/>
                      <a:ext cx="5486400" cy="2704355"/>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1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177.800% (de 0 m³ a 17,8 m³). • 06-04-26: Aumento del 84.100% (de 0 m³ a 16,8 m³). El día pico (01-04-26) registró un consumo de 18,7 m³, lo que representa un 111,2% por encima del promedio diario (8,8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247,7</w:t>
            </w:r>
          </w:p>
        </w:tc>
      </w:tr>
      <w:tr>
        <w:tc>
          <w:tcPr>
            <w:tcW w:type="dxa" w:w="4320"/>
            <w:noWrap/>
          </w:tcPr>
          <w:p>
            <w:r>
              <w:t>Promedio diario (m³)</w:t>
            </w:r>
          </w:p>
        </w:tc>
        <w:tc>
          <w:tcPr>
            <w:tcW w:type="dxa" w:w="4320"/>
            <w:noWrap/>
          </w:tcPr>
          <w:p>
            <w:r>
              <w:t>8,8</w:t>
            </w:r>
          </w:p>
        </w:tc>
      </w:tr>
      <w:tr>
        <w:tc>
          <w:tcPr>
            <w:tcW w:type="dxa" w:w="4320"/>
            <w:noWrap/>
          </w:tcPr>
          <w:p>
            <w:r>
              <w:t>Promedio mensual (m³)</w:t>
            </w:r>
          </w:p>
        </w:tc>
        <w:tc>
          <w:tcPr>
            <w:tcW w:type="dxa" w:w="4320"/>
            <w:noWrap/>
          </w:tcPr>
          <w:p>
            <w:r>
              <w:t>265,4</w:t>
            </w:r>
          </w:p>
        </w:tc>
      </w:tr>
      <w:tr>
        <w:tc>
          <w:tcPr>
            <w:tcW w:type="dxa" w:w="4320"/>
            <w:noWrap/>
          </w:tcPr>
          <w:p>
            <w:r>
              <w:t>Máximo diario</w:t>
            </w:r>
          </w:p>
        </w:tc>
        <w:tc>
          <w:tcPr>
            <w:tcW w:type="dxa" w:w="4320"/>
            <w:noWrap/>
          </w:tcPr>
          <w:p>
            <w:r>
              <w:t>18,7 m³ (01-04-26)</w:t>
            </w:r>
          </w:p>
        </w:tc>
      </w:tr>
      <w:tr>
        <w:tc>
          <w:tcPr>
            <w:tcW w:type="dxa" w:w="4320"/>
            <w:noWrap/>
          </w:tcPr>
          <w:p>
            <w:r>
              <w:t>Mínimo diario</w:t>
            </w:r>
          </w:p>
        </w:tc>
        <w:tc>
          <w:tcPr>
            <w:tcW w:type="dxa" w:w="4320"/>
            <w:noWrap/>
          </w:tcPr>
          <w:p>
            <w:r>
              <w:t>0 m³ (26-04-26)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24</w:t>
            </w:r>
          </w:p>
        </w:tc>
      </w:tr>
      <w:tr>
        <w:tc>
          <w:tcPr>
            <w:tcW w:type="dxa" w:w="4320"/>
            <w:noWrap/>
          </w:tcPr>
          <w:p>
            <w:r>
              <w:t>Número de días sin consumo nocturno (con serie horaria ese día)</w:t>
            </w:r>
          </w:p>
        </w:tc>
        <w:tc>
          <w:tcPr>
            <w:tcW w:type="dxa" w:w="4320"/>
            <w:noWrap/>
          </w:tcPr>
          <w:p>
            <w:r>
              <w:t>4</w:t>
            </w:r>
          </w:p>
        </w:tc>
      </w:tr>
      <w:tr>
        <w:tc>
          <w:tcPr>
            <w:tcW w:type="dxa" w:w="4320"/>
            <w:noWrap/>
          </w:tcPr>
          <w:p>
            <w:r>
              <w:t>Consumo nocturno (m³)</w:t>
            </w:r>
          </w:p>
        </w:tc>
        <w:tc>
          <w:tcPr>
            <w:tcW w:type="dxa" w:w="4320"/>
            <w:noWrap/>
          </w:tcPr>
          <w:p>
            <w:r>
              <w:t>35,8</w:t>
            </w:r>
          </w:p>
        </w:tc>
      </w:tr>
      <w:tr>
        <w:tc>
          <w:tcPr>
            <w:tcW w:type="dxa" w:w="4320"/>
            <w:noWrap/>
          </w:tcPr>
          <w:p>
            <w:r>
              <w:t>Consumo diurno efectivo (m³)</w:t>
            </w:r>
          </w:p>
        </w:tc>
        <w:tc>
          <w:tcPr>
            <w:tcW w:type="dxa" w:w="4320"/>
            <w:noWrap/>
          </w:tcPr>
          <w:p>
            <w:r>
              <w:t>211,9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23339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23339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Nonato Coo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1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1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(85,7%)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0,18</w:t>
            </w:r>
          </w:p>
        </w:tc>
      </w:tr>
      <w:tr>
        <w:tc>
          <w:tcPr>
            <w:tcW w:type="dxa" w:w="4320"/>
            <w:noWrap/>
          </w:tcPr>
          <w:p>
            <w:r>
              <w:t>Proyección día filtración (m³/día)</w:t>
            </w:r>
          </w:p>
        </w:tc>
        <w:tc>
          <w:tcPr>
            <w:tcW w:type="dxa" w:w="4320"/>
            <w:noWrap/>
          </w:tcPr>
          <w:p>
            <w:r>
              <w:t>4,4</w:t>
            </w:r>
          </w:p>
        </w:tc>
      </w:tr>
      <w:tr>
        <w:tc>
          <w:tcPr>
            <w:tcW w:type="dxa" w:w="4320"/>
            <w:noWrap/>
          </w:tcPr>
          <w:p>
            <w:r>
              <w:t>Proyección filtración del periodo (m³)</w:t>
            </w:r>
          </w:p>
        </w:tc>
        <w:tc>
          <w:tcPr>
            <w:tcW w:type="dxa" w:w="4320"/>
            <w:noWrap/>
          </w:tcPr>
          <w:p>
            <w:r>
              <w:t>122,7</w:t>
            </w:r>
          </w:p>
        </w:tc>
      </w:tr>
      <w:tr>
        <w:tc>
          <w:tcPr>
            <w:tcW w:type="dxa" w:w="4320"/>
            <w:noWrap/>
          </w:tcPr>
          <w:p>
            <w:r>
              <w:t>Consumo efectivo del periodo (m³)</w:t>
            </w:r>
          </w:p>
        </w:tc>
        <w:tc>
          <w:tcPr>
            <w:tcW w:type="dxa" w:w="4320"/>
            <w:noWrap/>
          </w:tcPr>
          <w:p>
            <w:r>
              <w:t>125,1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