
<file path=[Content_Types].xml><?xml version="1.0" encoding="utf-8"?>
<Types xmlns="http://schemas.openxmlformats.org/package/2006/content-types">
  <Default Extension="bmp" ContentType="image/bmp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sz w:val="40"/>
        </w:rPr>
        <w:t>Análisis Corporación Puente Alto Esc. Padre Hurtado</w:t>
      </w:r>
    </w:p>
    <w:p>
      <w:pPr>
        <w:jc w:val="center"/>
      </w:pPr>
      <w:r>
        <w:t>MONITOREO WES</w:t>
        <w:br/>
        <w:t>Esc. Padre Hurtado</w:t>
        <w:br/>
        <w:t>Rango: 01-04-26 - 30-04-26</w:t>
        <w:br/>
        <w:t>Generado: 28-04-26 17:43</w:t>
      </w:r>
    </w:p>
    <w:p>
      <w:pPr>
        <w:pStyle w:val="Heading1"/>
        <w:keepNext/>
        <w:widowControl/>
        <w:spacing w:after="60"/>
      </w:pPr>
      <w:r>
        <w:rPr>
          <w:b/>
          <w:color w:val="003366"/>
        </w:rPr>
        <w:t>RESUMEN EJECUTIVO</w:t>
      </w:r>
    </w:p>
    <w:p>
      <w:r>
        <w:t>Consumo total: 487,1 m³.</w:t>
        <w:br/>
      </w:r>
      <w:r>
        <w:t>Promedio diario: 17,4 m³.</w:t>
        <w:br/>
      </w:r>
      <w:r>
        <w:t>Número de días del periodo del reporte: 30.</w:t>
        <w:br/>
      </w:r>
      <w:r>
        <w:t>Día pico: 01-04-26 (38,7 m³).</w:t>
        <w:br/>
      </w:r>
      <w:r>
        <w:t>Número de alertas de consumo nocturno: 21.</w:t>
        <w:br/>
      </w:r>
    </w:p>
    <w:p>
      <w:pPr>
        <w:pStyle w:val="Heading1"/>
        <w:keepNext/>
        <w:widowControl/>
        <w:spacing w:after="60"/>
      </w:pPr>
      <w:r>
        <w:rPr>
          <w:b/>
          <w:color w:val="003366"/>
        </w:rPr>
        <w:t>CONSUMO</w:t>
      </w:r>
    </w:p>
    <w:p>
      <w:pPr>
        <w:jc w:val="both"/>
      </w:pPr>
      <w:r>
        <w:rPr>
          <w:color w:val="000000"/>
        </w:rPr>
        <w:t>En la gráfica se representan 28 días. El periodo incluye todos los días de la semana.</w:t>
      </w:r>
    </w:p>
    <w:p>
      <w:pPr>
        <w:keepNext/>
        <w:widowControl/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5486400" cy="269069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consumo_000010-03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69069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both"/>
      </w:pPr>
      <w:r>
        <w:rPr>
          <w:color w:val="000000"/>
        </w:rPr>
        <w:t>El mayor consumo se registró el miércoles 01-04-26 con 38,7 m³. Este día corresponde a un día laboral, lo que típicamente se asocia con alta actividad hídrica. El análisis horario detallado de este día permite identificar los períodos de mayor demanda y los patrones de consumo específicos.</w:t>
      </w:r>
    </w:p>
    <w:p>
      <w:pPr>
        <w:spacing w:after="60"/>
      </w:pPr>
    </w:p>
    <w:p>
      <w:pPr>
        <w:keepNext/>
        <w:widowControl/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5486400" cy="3309947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promedios_semanales_000010-03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30994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after="60"/>
        <w:jc w:val="both"/>
      </w:pPr>
      <w:r>
        <w:rPr>
          <w:color w:val="000000"/>
        </w:rPr>
        <w:t>Esta gráfica muestra el promedio de consumo por día de la semana (lunes a domingo), calculado exclusivamente con semanas completas del período analizado. Para su elaboración, se identificaron 3 semana(s) completa(s) (desde el lunes 6 de abril de 2026 hasta el domingo 26 de abril de 2026), excluyendo aquellas semanas que no contenían todos los días de lunes a domingo. Los valores mostrados representan el promedio de consumo para cada día de la semana considerando únicamente estas semanas completas.</w:t>
      </w:r>
    </w:p>
    <w:p>
      <w:pPr>
        <w:keepNext/>
        <w:spacing w:after="0"/>
      </w:pPr>
    </w:p>
    <w:p>
      <w:pPr>
        <w:keepNext/>
        <w:widowControl/>
        <w:spacing w:after="60"/>
      </w:pPr>
      <w:r>
        <w:rPr>
          <w:b/>
          <w:color w:val="003366"/>
        </w:rPr>
        <w:t>ANÁLISIS DETALLADO POR HORA DE LOS DÍAS EXTREMOS:</w:t>
      </w:r>
    </w:p>
    <w:p>
      <w:pPr>
        <w:keepNext/>
        <w:widowControl/>
        <w:spacing w:after="60"/>
      </w:pPr>
      <w:r>
        <w:rPr>
          <w:b/>
          <w:color w:val="003366"/>
        </w:rPr>
        <w:t>DÍA CON MAYOR CONSUMO:</w:t>
      </w:r>
    </w:p>
    <w:p>
      <w:pPr>
        <w:keepNext/>
        <w:widowControl/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5486400" cy="2702533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hourly_max_000010-03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0253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after="60"/>
      </w:pPr>
    </w:p>
    <w:p>
      <w:pPr>
        <w:keepNext/>
        <w:widowControl/>
        <w:spacing w:after="60"/>
      </w:pPr>
      <w:r>
        <w:rPr>
          <w:b/>
          <w:color w:val="003366"/>
        </w:rPr>
        <w:t>DÍA CON MENOR CONSUMO:</w:t>
      </w:r>
    </w:p>
    <w:p>
      <w:pPr>
        <w:keepNext/>
        <w:widowControl/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5486400" cy="2702533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hourly_min_000010-03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0253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60"/>
      </w:pPr>
    </w:p>
    <w:p>
      <w:pPr>
        <w:jc w:val="both"/>
      </w:pPr>
      <w:r>
        <w:rPr>
          <w:color w:val="000000"/>
        </w:rPr>
        <w:t>Se detectaron alzas significativas de consumo en los siguientes días: • 06-04-26: Aumento del 820% (de 2 m³ a 18,4 m³). El equipo de monitoreo WES alertó este evento. • 13-04-26: Aumento del 71,4% (de 8,4 m³ a 14,4 m³). El equipo de monitoreo WES alertó este evento. El día pico (01-04-26) registró un consumo de 38,7 m³, lo que representa un 122,5% por encima del promedio diario (17,4 m³).</w:t>
      </w:r>
    </w:p>
    <w:p/>
    <w:p>
      <w:pPr>
        <w:keepNext/>
        <w:widowControl/>
        <w:spacing w:after="60"/>
      </w:pPr>
      <w:r>
        <w:rPr>
          <w:b/>
          <w:color w:val="003366"/>
        </w:rPr>
        <w:t>MÉTRICAS CLAVE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877"/>
        <w:gridCol w:w="3323"/>
      </w:tblGrid>
      <w:tr>
        <w:tc>
          <w:tcPr>
            <w:tcW w:type="dxa" w:w="4320"/>
            <w:shd w:val="clear" w:fill="D9E1F2"/>
            <w:noWrap/>
          </w:tcPr>
          <w:p>
            <w:r>
              <w:t>Total (m³)</w:t>
            </w:r>
          </w:p>
        </w:tc>
        <w:tc>
          <w:tcPr>
            <w:tcW w:type="dxa" w:w="4320"/>
            <w:shd w:val="clear" w:fill="D9E1F2"/>
            <w:noWrap/>
          </w:tcPr>
          <w:p>
            <w:r>
              <w:t>487,1</w:t>
            </w:r>
          </w:p>
        </w:tc>
      </w:tr>
      <w:tr>
        <w:tc>
          <w:tcPr>
            <w:tcW w:type="dxa" w:w="4320"/>
            <w:noWrap/>
          </w:tcPr>
          <w:p>
            <w:r>
              <w:t>Promedio diario (m³)</w:t>
            </w:r>
          </w:p>
        </w:tc>
        <w:tc>
          <w:tcPr>
            <w:tcW w:type="dxa" w:w="4320"/>
            <w:noWrap/>
          </w:tcPr>
          <w:p>
            <w:r>
              <w:t>17,4</w:t>
            </w:r>
          </w:p>
        </w:tc>
      </w:tr>
      <w:tr>
        <w:tc>
          <w:tcPr>
            <w:tcW w:type="dxa" w:w="4320"/>
            <w:noWrap/>
          </w:tcPr>
          <w:p>
            <w:r>
              <w:t>Promedio mensual (m³)</w:t>
            </w:r>
          </w:p>
        </w:tc>
        <w:tc>
          <w:tcPr>
            <w:tcW w:type="dxa" w:w="4320"/>
            <w:noWrap/>
          </w:tcPr>
          <w:p>
            <w:r>
              <w:t>521,9</w:t>
            </w:r>
          </w:p>
        </w:tc>
      </w:tr>
      <w:tr>
        <w:tc>
          <w:tcPr>
            <w:tcW w:type="dxa" w:w="4320"/>
            <w:noWrap/>
          </w:tcPr>
          <w:p>
            <w:r>
              <w:t>Máximo diario</w:t>
            </w:r>
          </w:p>
        </w:tc>
        <w:tc>
          <w:tcPr>
            <w:tcW w:type="dxa" w:w="4320"/>
            <w:noWrap/>
          </w:tcPr>
          <w:p>
            <w:r>
              <w:t>38,7 m³ (01-04-26)</w:t>
            </w:r>
          </w:p>
        </w:tc>
      </w:tr>
      <w:tr>
        <w:tc>
          <w:tcPr>
            <w:tcW w:type="dxa" w:w="4320"/>
            <w:noWrap/>
          </w:tcPr>
          <w:p>
            <w:r>
              <w:t>Mínimo diario</w:t>
            </w:r>
          </w:p>
        </w:tc>
        <w:tc>
          <w:tcPr>
            <w:tcW w:type="dxa" w:w="4320"/>
            <w:noWrap/>
          </w:tcPr>
          <w:p>
            <w:r>
              <w:t>2 m³ (05-04-26)</w:t>
            </w:r>
          </w:p>
        </w:tc>
      </w:tr>
    </w:tbl>
    <w:p/>
    <w:p>
      <w:pPr>
        <w:keepNext/>
        <w:widowControl/>
        <w:spacing w:after="60"/>
      </w:pPr>
      <w:r>
        <w:rPr>
          <w:b/>
          <w:color w:val="003366"/>
        </w:rPr>
        <w:t>MÉTRICAS DE CONSUMO NOCTURNO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8078"/>
        <w:gridCol w:w="1282"/>
      </w:tblGrid>
      <w:tr>
        <w:tc>
          <w:tcPr>
            <w:tcW w:type="dxa" w:w="4320"/>
            <w:shd w:val="clear" w:fill="D9E1F2"/>
            <w:noWrap/>
          </w:tcPr>
          <w:p>
            <w:r>
              <w:t>Número de días con consumo nocturno (00:00–06:59, hora Chile)</w:t>
            </w:r>
          </w:p>
        </w:tc>
        <w:tc>
          <w:tcPr>
            <w:tcW w:type="dxa" w:w="4320"/>
            <w:shd w:val="clear" w:fill="D9E1F2"/>
            <w:noWrap/>
          </w:tcPr>
          <w:p>
            <w:r>
              <w:t>0</w:t>
            </w:r>
          </w:p>
        </w:tc>
      </w:tr>
      <w:tr>
        <w:tc>
          <w:tcPr>
            <w:tcW w:type="dxa" w:w="4320"/>
            <w:noWrap/>
          </w:tcPr>
          <w:p>
            <w:r>
              <w:t>Número de días sin consumo nocturno (con serie horaria ese día)</w:t>
            </w:r>
          </w:p>
        </w:tc>
        <w:tc>
          <w:tcPr>
            <w:tcW w:type="dxa" w:w="4320"/>
            <w:noWrap/>
          </w:tcPr>
          <w:p>
            <w:r>
              <w:t>0</w:t>
            </w:r>
          </w:p>
        </w:tc>
      </w:tr>
      <w:tr>
        <w:tc>
          <w:tcPr>
            <w:tcW w:type="dxa" w:w="4320"/>
            <w:noWrap/>
          </w:tcPr>
          <w:p>
            <w:r>
              <w:t>Días sin datos horarios (sin serie ese día)</w:t>
            </w:r>
          </w:p>
        </w:tc>
        <w:tc>
          <w:tcPr>
            <w:tcW w:type="dxa" w:w="4320"/>
            <w:noWrap/>
          </w:tcPr>
          <w:p>
            <w:r>
              <w:t>30</w:t>
            </w:r>
          </w:p>
        </w:tc>
      </w:tr>
      <w:tr>
        <w:tc>
          <w:tcPr>
            <w:tcW w:type="dxa" w:w="4320"/>
            <w:noWrap/>
          </w:tcPr>
          <w:p>
            <w:r>
              <w:t>Consumo nocturno (m³)</w:t>
            </w:r>
          </w:p>
        </w:tc>
        <w:tc>
          <w:tcPr>
            <w:tcW w:type="dxa" w:w="4320"/>
            <w:noWrap/>
          </w:tcPr>
          <w:p>
            <w:r>
              <w:t>0</w:t>
            </w:r>
          </w:p>
        </w:tc>
      </w:tr>
      <w:tr>
        <w:tc>
          <w:tcPr>
            <w:tcW w:type="dxa" w:w="4320"/>
            <w:noWrap/>
          </w:tcPr>
          <w:p>
            <w:r>
              <w:t>Consumo diurno efectivo (m³)</w:t>
            </w:r>
          </w:p>
        </w:tc>
        <w:tc>
          <w:tcPr>
            <w:tcW w:type="dxa" w:w="4320"/>
            <w:noWrap/>
          </w:tcPr>
          <w:p>
            <w:r>
              <w:t>0</w:t>
            </w:r>
          </w:p>
        </w:tc>
      </w:tr>
    </w:tbl>
    <w:p/>
    <w:p>
      <w:pPr>
        <w:jc w:val="both"/>
      </w:pPr>
      <w:r>
        <w:rPr>
          <w:color w:val="000000"/>
        </w:rPr>
        <w:t>Nota: En este punto el consumo nocturno aparece en 0 debido al control operativo de la máquina WES (CPA). Por este motivo se omite la gráfica de torta (no aporta valor adicional en la interpretación).</w:t>
      </w:r>
    </w:p>
    <w:p>
      <w:pPr>
        <w:jc w:val="both"/>
      </w:pPr>
      <w:r>
        <w:rPr>
          <w:color w:val="000000"/>
        </w:rPr>
        <w:t>Los eventos de consumo nocturno provienen del punto Esc. Padre Hurtado y se utilizan para estimar el promedio diario de consumo nocturno y su proyección.</w:t>
      </w:r>
    </w:p>
    <w:p>
      <w:pPr>
        <w:jc w:val="both"/>
      </w:pPr>
      <w:r>
        <w:rPr>
          <w:color w:val="000000"/>
        </w:rPr>
        <w:t>Según el algoritmo implementado en el sistema WES de monitoreo en terreno, los valores presentados son los siguientes:</w:t>
      </w:r>
    </w:p>
    <w:p>
      <w:pPr>
        <w:keepNext/>
        <w:widowControl/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5486400" cy="1684831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fugas_000010-03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68483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  <w:keepNext/>
        <w:widowControl/>
        <w:spacing w:after="60"/>
      </w:pPr>
      <w:r>
        <w:rPr>
          <w:b/>
          <w:color w:val="003366"/>
        </w:rPr>
        <w:t>CONCLUSIONES</w:t>
      </w:r>
    </w:p>
    <w:p>
      <w:pPr>
        <w:keepNext/>
        <w:widowControl/>
        <w:jc w:val="both"/>
      </w:pPr>
      <w:r>
        <w:rPr>
          <w:color w:val="000000"/>
        </w:rPr>
        <w:t>Este reporte sintetiza los principales hallazgos de consumo y fugas. Se recomienda revisar los días con mayor consumo y atender las alertas registradas.</w:t>
      </w:r>
    </w:p>
    <w:sectPr w:rsidR="00FC693F" w:rsidRPr="0006063C" w:rsidSect="00034616">
      <w:head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 w:before="0"/>
      <w:jc w:val="right"/>
    </w:pPr>
    <w:r>
      <w:drawing>
        <wp:inline xmlns:a="http://schemas.openxmlformats.org/drawingml/2006/main" xmlns:pic="http://schemas.openxmlformats.org/drawingml/2006/picture">
          <wp:extent cx="1371600" cy="304081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logo wes.bmp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371600" cy="304081"/>
                  </a:xfrm>
                  <a:prstGeom prst="rect"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bmp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