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Escuela Andes del SUR</w:t>
      </w:r>
    </w:p>
    <w:p>
      <w:pPr>
        <w:jc w:val="center"/>
      </w:pPr>
      <w:r>
        <w:t>MONITOREO WES</w:t>
        <w:br/>
        <w:t>Escuela Andes del SUR</w:t>
        <w:br/>
        <w:t>Rango: 01-04-26 - 28-04-26</w:t>
        <w:br/>
        <w:t>Generado: 28-04-26 21:05</w:t>
      </w:r>
    </w:p>
    <w:p>
      <w:pPr>
        <w:pStyle w:val="Heading1"/>
        <w:keepNext/>
        <w:widowControl/>
        <w:spacing w:after="60"/>
      </w:pPr>
      <w:r>
        <w:rPr>
          <w:b/>
          <w:color w:val="003366"/>
        </w:rPr>
        <w:t>RESUMEN EJECUTIVO</w:t>
      </w:r>
    </w:p>
    <w:p>
      <w:r>
        <w:t>Consumo total: 916,8 m³.</w:t>
        <w:br/>
      </w:r>
      <w:r>
        <w:t>Promedio diario: 32,7 m³.</w:t>
        <w:br/>
      </w:r>
      <w:r>
        <w:t>Número de días del periodo del reporte: 28.</w:t>
        <w:br/>
      </w:r>
      <w:r>
        <w:t>Día pico: 27-04-26 (57,8 m³).</w:t>
        <w:br/>
      </w:r>
      <w:r>
        <w:t>Número de alertas de consumo nocturno: 21.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915927"/>
            <wp:docPr id="1" name="Picture 1"/>
            <wp:cNvGraphicFramePr>
              <a:graphicFrameLocks noChangeAspect="1"/>
            </wp:cNvGraphicFramePr>
            <a:graphic>
              <a:graphicData uri="http://schemas.openxmlformats.org/drawingml/2006/picture">
                <pic:pic>
                  <pic:nvPicPr>
                    <pic:cNvPr id="0" name="chart_consumo_000010-01.png"/>
                    <pic:cNvPicPr/>
                  </pic:nvPicPr>
                  <pic:blipFill>
                    <a:blip r:embed="rId10"/>
                    <a:stretch>
                      <a:fillRect/>
                    </a:stretch>
                  </pic:blipFill>
                  <pic:spPr>
                    <a:xfrm>
                      <a:off x="0" y="0"/>
                      <a:ext cx="5486400" cy="2915927"/>
                    </a:xfrm>
                    <a:prstGeom prst="rect"/>
                  </pic:spPr>
                </pic:pic>
              </a:graphicData>
            </a:graphic>
          </wp:inline>
        </w:drawing>
      </w:r>
    </w:p>
    <w:p>
      <w:pPr>
        <w:jc w:val="both"/>
      </w:pPr>
      <w:r>
        <w:rPr>
          <w:color w:val="000000"/>
        </w:rPr>
        <w:t>El mayor consumo se registró el lunes 27-04-26 con 57,8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chart_hourly_min_000010-01.png"/>
                    <pic:cNvPicPr/>
                  </pic:nvPicPr>
                  <pic:blipFill>
                    <a:blip r:embed="rId13"/>
                    <a:stretch>
                      <a:fillRect/>
                    </a:stretch>
                  </pic:blipFill>
                  <pic:spPr>
                    <a:xfrm>
                      <a:off x="0" y="0"/>
                      <a:ext cx="5486400" cy="2743200"/>
                    </a:xfrm>
                    <a:prstGeom prst="rect"/>
                  </pic:spPr>
                </pic:pic>
              </a:graphicData>
            </a:graphic>
          </wp:inline>
        </w:drawing>
      </w:r>
    </w:p>
    <w:p>
      <w:pPr>
        <w:spacing w:after="60"/>
      </w:pPr>
    </w:p>
    <w:p>
      <w:pPr>
        <w:jc w:val="both"/>
      </w:pPr>
      <w:r>
        <w:rPr>
          <w:color w:val="000000"/>
        </w:rPr>
        <w:t>Se detectaron alzas significativas de consumo en los siguientes días: • 06-04-26: Aumento del 65,4% (de 17,9 m³ a 29,6 m³). El equipo de monitoreo WES alertó este evento. • 04-04-26: Aumento del 64,8% (de 19,6 m³ a 32,3 m³). El día pico (27-04-26) registró un consumo de 57,8 m³, lo que representa un 76,5% por encima del promedio diario (32,7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916,8</w:t>
            </w:r>
          </w:p>
        </w:tc>
      </w:tr>
      <w:tr>
        <w:tc>
          <w:tcPr>
            <w:tcW w:type="dxa" w:w="4320"/>
            <w:noWrap/>
          </w:tcPr>
          <w:p>
            <w:r>
              <w:t>Promedio diario (m³)</w:t>
            </w:r>
          </w:p>
        </w:tc>
        <w:tc>
          <w:tcPr>
            <w:tcW w:type="dxa" w:w="4320"/>
            <w:noWrap/>
          </w:tcPr>
          <w:p>
            <w:r>
              <w:t>32,7</w:t>
            </w:r>
          </w:p>
        </w:tc>
      </w:tr>
      <w:tr>
        <w:tc>
          <w:tcPr>
            <w:tcW w:type="dxa" w:w="4320"/>
            <w:noWrap/>
          </w:tcPr>
          <w:p>
            <w:r>
              <w:t>Promedio mensual (m³)</w:t>
            </w:r>
          </w:p>
        </w:tc>
        <w:tc>
          <w:tcPr>
            <w:tcW w:type="dxa" w:w="4320"/>
            <w:noWrap/>
          </w:tcPr>
          <w:p>
            <w:r>
              <w:t>982,3</w:t>
            </w:r>
          </w:p>
        </w:tc>
      </w:tr>
      <w:tr>
        <w:tc>
          <w:tcPr>
            <w:tcW w:type="dxa" w:w="4320"/>
            <w:noWrap/>
          </w:tcPr>
          <w:p>
            <w:r>
              <w:t>Máximo diario</w:t>
            </w:r>
          </w:p>
        </w:tc>
        <w:tc>
          <w:tcPr>
            <w:tcW w:type="dxa" w:w="4320"/>
            <w:noWrap/>
          </w:tcPr>
          <w:p>
            <w:r>
              <w:t>57,8 m³ (27-04-26)</w:t>
            </w:r>
          </w:p>
        </w:tc>
      </w:tr>
      <w:tr>
        <w:tc>
          <w:tcPr>
            <w:tcW w:type="dxa" w:w="4320"/>
            <w:noWrap/>
          </w:tcPr>
          <w:p>
            <w:r>
              <w:t>Mínimo diario</w:t>
            </w:r>
          </w:p>
        </w:tc>
        <w:tc>
          <w:tcPr>
            <w:tcW w:type="dxa" w:w="4320"/>
            <w:noWrap/>
          </w:tcPr>
          <w:p>
            <w:r>
              <w:t>17,9 m³ (05-04-26)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28</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292,8</w:t>
            </w:r>
          </w:p>
        </w:tc>
      </w:tr>
      <w:tr>
        <w:tc>
          <w:tcPr>
            <w:tcW w:type="dxa" w:w="4320"/>
            <w:noWrap/>
          </w:tcPr>
          <w:p>
            <w:r>
              <w:t>Consumo diurno efectivo (m³)</w:t>
            </w:r>
          </w:p>
        </w:tc>
        <w:tc>
          <w:tcPr>
            <w:tcW w:type="dxa" w:w="4320"/>
            <w:noWrap/>
          </w:tcPr>
          <w:p>
            <w:r>
              <w:t>623,3</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484844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484844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Escuela Andes del SUR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934537"/>
            <wp:docPr id="6" name="Picture 6"/>
            <wp:cNvGraphicFramePr>
              <a:graphicFrameLocks noChangeAspect="1"/>
            </wp:cNvGraphicFramePr>
            <a:graphic>
              <a:graphicData uri="http://schemas.openxmlformats.org/drawingml/2006/picture">
                <pic:pic>
                  <pic:nvPicPr>
                    <pic:cNvPr id="0" name="chart_fugas_000010-01.png"/>
                    <pic:cNvPicPr/>
                  </pic:nvPicPr>
                  <pic:blipFill>
                    <a:blip r:embed="rId15"/>
                    <a:stretch>
                      <a:fillRect/>
                    </a:stretch>
                  </pic:blipFill>
                  <pic:spPr>
                    <a:xfrm>
                      <a:off x="0" y="0"/>
                      <a:ext cx="5486400" cy="1934537"/>
                    </a:xfrm>
                    <a:prstGeom prst="rect"/>
                  </pic:spPr>
                </pic:pic>
              </a:graphicData>
            </a:graphic>
          </wp:inline>
        </w:drawing>
      </w:r>
    </w:p>
    <w:p/>
    <w:p>
      <w:pPr>
        <w:keepNext/>
        <w:widowControl/>
        <w:spacing w:after="60"/>
      </w:pPr>
      <w:r>
        <w:rPr>
          <w:b/>
          <w:color w:val="003366"/>
        </w:rPr>
        <w:t>DÍA CON MAYOR CONSUMO NOCTURNO (28-04-26):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(28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1,49</w:t>
            </w:r>
          </w:p>
        </w:tc>
      </w:tr>
      <w:tr>
        <w:tc>
          <w:tcPr>
            <w:tcW w:type="dxa" w:w="4320"/>
            <w:noWrap/>
          </w:tcPr>
          <w:p>
            <w:r>
              <w:t>Proyección día filtración (m³/día)</w:t>
            </w:r>
          </w:p>
        </w:tc>
        <w:tc>
          <w:tcPr>
            <w:tcW w:type="dxa" w:w="4320"/>
            <w:noWrap/>
          </w:tcPr>
          <w:p>
            <w:r>
              <w:t>35,9</w:t>
            </w:r>
          </w:p>
        </w:tc>
      </w:tr>
      <w:tr>
        <w:tc>
          <w:tcPr>
            <w:tcW w:type="dxa" w:w="4320"/>
            <w:noWrap/>
          </w:tcPr>
          <w:p>
            <w:r>
              <w:t>Proyección filtración del periodo (m³)</w:t>
            </w:r>
          </w:p>
        </w:tc>
        <w:tc>
          <w:tcPr>
            <w:tcW w:type="dxa" w:w="4320"/>
            <w:noWrap/>
          </w:tcPr>
          <w:p>
            <w:r>
              <w:t>1.003,9</w:t>
            </w:r>
          </w:p>
        </w:tc>
      </w:tr>
      <w:tr>
        <w:tc>
          <w:tcPr>
            <w:tcW w:type="dxa" w:w="4320"/>
            <w:noWrap/>
          </w:tcPr>
          <w:p>
            <w:r>
              <w:t>Consumo efectivo del periodo (m³)</w:t>
            </w:r>
          </w:p>
        </w:tc>
        <w:tc>
          <w:tcPr>
            <w:tcW w:type="dxa" w:w="4320"/>
            <w:noWrap/>
          </w:tcPr>
          <w:p>
            <w:r>
              <w:t>-87,1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