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DERCO</w:t>
      </w:r>
    </w:p>
    <w:p>
      <w:pPr>
        <w:jc w:val="center"/>
      </w:pPr>
      <w:r>
        <w:t>MONITOREO WES</w:t>
        <w:br/>
        <w:t>Análisis consolidado de 7 puntos de monitoreo</w:t>
        <w:br/>
        <w:t>Rango: 01-05-26 - 31-05-26</w:t>
        <w:br/>
        <w:t>Generado: 01-06-26 14:39</w:t>
      </w:r>
    </w:p>
    <w:p>
      <w:pPr>
        <w:pStyle w:val="Heading1"/>
        <w:keepNext/>
        <w:widowControl/>
        <w:spacing w:after="60"/>
      </w:pPr>
      <w:r>
        <w:rPr>
          <w:b/>
          <w:color w:val="003366"/>
        </w:rPr>
        <w:t>RESUMEN EJECUTIVO AGREGADO</w:t>
      </w:r>
    </w:p>
    <w:p>
      <w:r>
        <w:t>Puntos de monitoreo analizados: 7.</w:t>
        <w:br/>
      </w:r>
      <w:r>
        <w:t>Consumo total agregado: 3.818,1 m³.</w:t>
        <w:br/>
      </w:r>
      <w:r>
        <w:t>Consumo promedio por punto: 545,4 m³.</w:t>
        <w:br/>
      </w:r>
      <w:r>
        <w:t>Total de alertas registradas: 87.</w:t>
        <w:br/>
      </w:r>
      <w:r>
        <w:t>Promedio de alerta agregado: 0,1 m³/h.</w:t>
        <w:br/>
      </w:r>
      <w:r>
        <w:t>Proyección diaria de consumo nocturno agregada: 2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Quilicura Matriz Principal, con un total de 3.207,1 m³ durante el periodo analizado. Este valor representa un 488% por encima del promedio (545,4 m³ por punto), indicando una demanda significativamente superior a la media. Por otro lado, el punto con menor consumo es Quilicura Lav. de Maquinas, con un total de 39,4 m³. Este valor representa un 92,8% por debajo del promedio, mostrando una demanda significativamente inferior. La diferencia entre el punto de mayor y menor consumo es considerable, siendo el consumo máximo aproximadamente 81,4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537"/>
        <w:gridCol w:w="1064"/>
        <w:gridCol w:w="946"/>
        <w:gridCol w:w="1419"/>
        <w:gridCol w:w="141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Quilicura Matriz Principal</w:t>
            </w:r>
          </w:p>
        </w:tc>
        <w:tc>
          <w:tcPr>
            <w:tcW w:type="dxa" w:w="1440"/>
            <w:noWrap/>
          </w:tcPr>
          <w:p>
            <w:r>
              <w:t>3.207,1</w:t>
            </w:r>
          </w:p>
        </w:tc>
        <w:tc>
          <w:tcPr>
            <w:tcW w:type="dxa" w:w="1440"/>
            <w:noWrap/>
          </w:tcPr>
          <w:p>
            <w:r>
              <w:t>0</w:t>
            </w:r>
          </w:p>
        </w:tc>
        <w:tc>
          <w:tcPr>
            <w:tcW w:type="dxa" w:w="1440"/>
            <w:noWrap/>
          </w:tcPr>
          <w:p>
            <w:pPr>
              <w:jc w:val="left"/>
            </w:pPr>
            <w:r>
              <w:t>595,2 m³</w:t>
            </w:r>
          </w:p>
          <w:p>
            <w:pPr>
              <w:jc w:val="left"/>
            </w:pPr>
            <w:r>
              <w:t>(31 días, 100%)</w:t>
            </w:r>
          </w:p>
        </w:tc>
        <w:tc>
          <w:tcPr>
            <w:tcW w:type="dxa" w:w="1440"/>
            <w:noWrap/>
          </w:tcPr>
          <w:p>
            <w:pPr>
              <w:jc w:val="left"/>
            </w:pPr>
            <w:r>
              <w:t>2.040,5 m³</w:t>
            </w:r>
          </w:p>
          <w:p>
            <w:pPr>
              <w:jc w:val="left"/>
            </w:pPr>
            <w:r>
              <w:t>(63,6%)</w:t>
            </w:r>
          </w:p>
        </w:tc>
      </w:tr>
      <w:tr>
        <w:tc>
          <w:tcPr>
            <w:tcW w:type="dxa" w:w="1440"/>
            <w:noWrap/>
          </w:tcPr>
          <w:p>
            <w:r>
              <w:t>2</w:t>
            </w:r>
          </w:p>
        </w:tc>
        <w:tc>
          <w:tcPr>
            <w:tcW w:type="dxa" w:w="1440"/>
            <w:noWrap/>
          </w:tcPr>
          <w:p>
            <w:r>
              <w:t>Quilicura Camarines</w:t>
            </w:r>
          </w:p>
        </w:tc>
        <w:tc>
          <w:tcPr>
            <w:tcW w:type="dxa" w:w="1440"/>
            <w:noWrap/>
          </w:tcPr>
          <w:p>
            <w:r>
              <w:t>292,2</w:t>
            </w:r>
          </w:p>
        </w:tc>
        <w:tc>
          <w:tcPr>
            <w:tcW w:type="dxa" w:w="1440"/>
            <w:noWrap/>
          </w:tcPr>
          <w:p>
            <w:r>
              <w:t>0</w:t>
            </w:r>
          </w:p>
        </w:tc>
        <w:tc>
          <w:tcPr>
            <w:tcW w:type="dxa" w:w="1440"/>
            <w:noWrap/>
          </w:tcPr>
          <w:p>
            <w:pPr>
              <w:jc w:val="left"/>
            </w:pPr>
            <w:r>
              <w:t>23,8 m³</w:t>
            </w:r>
          </w:p>
          <w:p>
            <w:pPr>
              <w:jc w:val="left"/>
            </w:pPr>
            <w:r>
              <w:t>(28 días, 90,3%)</w:t>
            </w:r>
          </w:p>
        </w:tc>
        <w:tc>
          <w:tcPr>
            <w:tcW w:type="dxa" w:w="1440"/>
            <w:noWrap/>
          </w:tcPr>
          <w:p>
            <w:pPr>
              <w:jc w:val="left"/>
            </w:pPr>
            <w:r>
              <w:t>81,6 m³</w:t>
            </w:r>
          </w:p>
          <w:p>
            <w:pPr>
              <w:jc w:val="left"/>
            </w:pPr>
            <w:r>
              <w:t>(27,9%)</w:t>
            </w:r>
          </w:p>
        </w:tc>
      </w:tr>
      <w:tr>
        <w:tc>
          <w:tcPr>
            <w:tcW w:type="dxa" w:w="1440"/>
            <w:noWrap/>
          </w:tcPr>
          <w:p>
            <w:r>
              <w:t>3</w:t>
            </w:r>
          </w:p>
        </w:tc>
        <w:tc>
          <w:tcPr>
            <w:tcW w:type="dxa" w:w="1440"/>
            <w:noWrap/>
          </w:tcPr>
          <w:p>
            <w:r>
              <w:t>Quilicura Casino</w:t>
            </w:r>
          </w:p>
        </w:tc>
        <w:tc>
          <w:tcPr>
            <w:tcW w:type="dxa" w:w="1440"/>
            <w:noWrap/>
          </w:tcPr>
          <w:p>
            <w:r>
              <w:t>107,5</w:t>
            </w:r>
          </w:p>
        </w:tc>
        <w:tc>
          <w:tcPr>
            <w:tcW w:type="dxa" w:w="1440"/>
            <w:noWrap/>
          </w:tcPr>
          <w:p>
            <w:r>
              <w:t>36</w:t>
            </w:r>
          </w:p>
        </w:tc>
        <w:tc>
          <w:tcPr>
            <w:tcW w:type="dxa" w:w="1440"/>
            <w:noWrap/>
          </w:tcPr>
          <w:p>
            <w:pPr>
              <w:jc w:val="left"/>
            </w:pPr>
            <w:r>
              <w:t>23 m³</w:t>
            </w:r>
          </w:p>
          <w:p>
            <w:pPr>
              <w:jc w:val="left"/>
            </w:pPr>
            <w:r>
              <w:t>(22 días, 71%)</w:t>
            </w:r>
          </w:p>
        </w:tc>
        <w:tc>
          <w:tcPr>
            <w:tcW w:type="dxa" w:w="1440"/>
            <w:noWrap/>
          </w:tcPr>
          <w:p>
            <w:pPr>
              <w:jc w:val="left"/>
            </w:pPr>
            <w:r>
              <w:t>0,0 m³</w:t>
            </w:r>
          </w:p>
          <w:p>
            <w:pPr>
              <w:jc w:val="left"/>
            </w:pPr>
            <w:r>
              <w:t>(0,0%)</w:t>
            </w:r>
          </w:p>
        </w:tc>
      </w:tr>
      <w:tr>
        <w:tc>
          <w:tcPr>
            <w:tcW w:type="dxa" w:w="1440"/>
            <w:noWrap/>
          </w:tcPr>
          <w:p>
            <w:r>
              <w:t>4</w:t>
            </w:r>
          </w:p>
        </w:tc>
        <w:tc>
          <w:tcPr>
            <w:tcW w:type="dxa" w:w="1440"/>
            <w:noWrap/>
          </w:tcPr>
          <w:p>
            <w:r>
              <w:t>Quilicura Proderco</w:t>
            </w:r>
          </w:p>
        </w:tc>
        <w:tc>
          <w:tcPr>
            <w:tcW w:type="dxa" w:w="1440"/>
            <w:noWrap/>
          </w:tcPr>
          <w:p>
            <w:r>
              <w:t>83,7</w:t>
            </w:r>
          </w:p>
        </w:tc>
        <w:tc>
          <w:tcPr>
            <w:tcW w:type="dxa" w:w="1440"/>
            <w:noWrap/>
          </w:tcPr>
          <w:p>
            <w:r>
              <w:t>13</w:t>
            </w:r>
          </w:p>
        </w:tc>
        <w:tc>
          <w:tcPr>
            <w:tcW w:type="dxa" w:w="1440"/>
            <w:noWrap/>
          </w:tcPr>
          <w:p>
            <w:pPr>
              <w:jc w:val="left"/>
            </w:pPr>
            <w:r>
              <w:t>16,2 m³</w:t>
            </w:r>
          </w:p>
          <w:p>
            <w:pPr>
              <w:jc w:val="left"/>
            </w:pPr>
            <w:r>
              <w:t>(31 días, 100%)</w:t>
            </w:r>
          </w:p>
        </w:tc>
        <w:tc>
          <w:tcPr>
            <w:tcW w:type="dxa" w:w="1440"/>
            <w:noWrap/>
          </w:tcPr>
          <w:p>
            <w:pPr>
              <w:jc w:val="left"/>
            </w:pPr>
            <w:r>
              <w:t>55,5 m³</w:t>
            </w:r>
          </w:p>
          <w:p>
            <w:pPr>
              <w:jc w:val="left"/>
            </w:pPr>
            <w:r>
              <w:t>(66,3%)</w:t>
            </w:r>
          </w:p>
        </w:tc>
      </w:tr>
      <w:tr>
        <w:tc>
          <w:tcPr>
            <w:tcW w:type="dxa" w:w="1440"/>
            <w:noWrap/>
          </w:tcPr>
          <w:p>
            <w:r>
              <w:t>5</w:t>
            </w:r>
          </w:p>
        </w:tc>
        <w:tc>
          <w:tcPr>
            <w:tcW w:type="dxa" w:w="1440"/>
            <w:noWrap/>
          </w:tcPr>
          <w:p>
            <w:r>
              <w:t>Quilicura Edificio JCB</w:t>
            </w:r>
          </w:p>
        </w:tc>
        <w:tc>
          <w:tcPr>
            <w:tcW w:type="dxa" w:w="1440"/>
            <w:noWrap/>
          </w:tcPr>
          <w:p>
            <w:r>
              <w:t>45</w:t>
            </w:r>
          </w:p>
        </w:tc>
        <w:tc>
          <w:tcPr>
            <w:tcW w:type="dxa" w:w="1440"/>
            <w:noWrap/>
          </w:tcPr>
          <w:p>
            <w:r>
              <w:t>33</w:t>
            </w:r>
          </w:p>
        </w:tc>
        <w:tc>
          <w:tcPr>
            <w:tcW w:type="dxa" w:w="1440"/>
            <w:noWrap/>
          </w:tcPr>
          <w:p>
            <w:pPr>
              <w:jc w:val="left"/>
            </w:pPr>
            <w:r>
              <w:t>8,9 m³</w:t>
            </w:r>
          </w:p>
          <w:p>
            <w:pPr>
              <w:jc w:val="left"/>
            </w:pPr>
            <w:r>
              <w:t>(31 días, 100%)</w:t>
            </w:r>
          </w:p>
        </w:tc>
        <w:tc>
          <w:tcPr>
            <w:tcW w:type="dxa" w:w="1440"/>
            <w:noWrap/>
          </w:tcPr>
          <w:p>
            <w:pPr>
              <w:jc w:val="left"/>
            </w:pPr>
            <w:r>
              <w:t>30,5 m³</w:t>
            </w:r>
          </w:p>
          <w:p>
            <w:pPr>
              <w:jc w:val="left"/>
            </w:pPr>
            <w:r>
              <w:t>(67,7%)</w:t>
            </w:r>
          </w:p>
        </w:tc>
      </w:tr>
      <w:tr>
        <w:tc>
          <w:tcPr>
            <w:tcW w:type="dxa" w:w="1440"/>
            <w:noWrap/>
          </w:tcPr>
          <w:p>
            <w:r>
              <w:t>6</w:t>
            </w:r>
          </w:p>
        </w:tc>
        <w:tc>
          <w:tcPr>
            <w:tcW w:type="dxa" w:w="1440"/>
            <w:noWrap/>
          </w:tcPr>
          <w:p>
            <w:r>
              <w:t>Quilicura Dercomaq</w:t>
            </w:r>
          </w:p>
        </w:tc>
        <w:tc>
          <w:tcPr>
            <w:tcW w:type="dxa" w:w="1440"/>
            <w:noWrap/>
          </w:tcPr>
          <w:p>
            <w:r>
              <w:t>43,3</w:t>
            </w:r>
          </w:p>
        </w:tc>
        <w:tc>
          <w:tcPr>
            <w:tcW w:type="dxa" w:w="1440"/>
            <w:noWrap/>
          </w:tcPr>
          <w:p>
            <w:r>
              <w:t>3</w:t>
            </w:r>
          </w:p>
        </w:tc>
        <w:tc>
          <w:tcPr>
            <w:tcW w:type="dxa" w:w="1440"/>
            <w:noWrap/>
          </w:tcPr>
          <w:p>
            <w:pPr>
              <w:jc w:val="left"/>
            </w:pPr>
            <w:r>
              <w:t>5,3 m³</w:t>
            </w:r>
          </w:p>
          <w:p>
            <w:pPr>
              <w:jc w:val="left"/>
            </w:pPr>
            <w:r>
              <w:t>(27 días, 87,1%)</w:t>
            </w:r>
          </w:p>
        </w:tc>
        <w:tc>
          <w:tcPr>
            <w:tcW w:type="dxa" w:w="1440"/>
            <w:noWrap/>
          </w:tcPr>
          <w:p>
            <w:pPr>
              <w:jc w:val="left"/>
            </w:pPr>
            <w:r>
              <w:t>18,3 m³</w:t>
            </w:r>
          </w:p>
          <w:p>
            <w:pPr>
              <w:jc w:val="left"/>
            </w:pPr>
            <w:r>
              <w:t>(42,2%)</w:t>
            </w:r>
          </w:p>
        </w:tc>
      </w:tr>
      <w:tr>
        <w:tc>
          <w:tcPr>
            <w:tcW w:type="dxa" w:w="1440"/>
            <w:noWrap/>
          </w:tcPr>
          <w:p>
            <w:r>
              <w:t>7</w:t>
            </w:r>
          </w:p>
        </w:tc>
        <w:tc>
          <w:tcPr>
            <w:tcW w:type="dxa" w:w="1440"/>
            <w:noWrap/>
          </w:tcPr>
          <w:p>
            <w:r>
              <w:t>Quilicura Lav. de Maquinas</w:t>
            </w:r>
          </w:p>
        </w:tc>
        <w:tc>
          <w:tcPr>
            <w:tcW w:type="dxa" w:w="1440"/>
            <w:noWrap/>
          </w:tcPr>
          <w:p>
            <w:r>
              <w:t>39,4</w:t>
            </w:r>
          </w:p>
        </w:tc>
        <w:tc>
          <w:tcPr>
            <w:tcW w:type="dxa" w:w="1440"/>
            <w:noWrap/>
          </w:tcPr>
          <w:p>
            <w:r>
              <w:t>2</w:t>
            </w:r>
          </w:p>
        </w:tc>
        <w:tc>
          <w:tcPr>
            <w:tcW w:type="dxa" w:w="1440"/>
            <w:noWrap/>
          </w:tcPr>
          <w:p>
            <w:pPr>
              <w:jc w:val="left"/>
            </w:pPr>
            <w:r>
              <w:t>6 m³</w:t>
            </w:r>
          </w:p>
          <w:p>
            <w:pPr>
              <w:jc w:val="left"/>
            </w:pPr>
            <w:r>
              <w:t>(15 días, 60%)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3.818,1</w:t>
            </w:r>
          </w:p>
        </w:tc>
        <w:tc>
          <w:tcPr>
            <w:tcW w:type="dxa" w:w="1440"/>
            <w:noWrap/>
            <w:shd w:val="clear" w:fill="FFE6E6"/>
          </w:tcPr>
          <w:p>
            <w:pPr>
              <w:jc w:val="left"/>
            </w:pPr>
            <w:r>
              <w:rPr>
                <w:b/>
                <w:color w:val="FF0000"/>
              </w:rPr>
              <w:t>87</w:t>
            </w:r>
          </w:p>
        </w:tc>
        <w:tc>
          <w:tcPr>
            <w:tcW w:type="dxa" w:w="1440"/>
            <w:noWrap/>
            <w:shd w:val="clear" w:fill="FFE6E6"/>
          </w:tcPr>
          <w:p>
            <w:pPr>
              <w:jc w:val="left"/>
            </w:pPr>
            <w:r>
              <w:rPr>
                <w:b/>
                <w:color w:val="FF0000"/>
              </w:rPr>
              <w:t>678,3 m³</w:t>
            </w:r>
          </w:p>
        </w:tc>
        <w:tc>
          <w:tcPr>
            <w:tcW w:type="dxa" w:w="1440"/>
            <w:noWrap/>
            <w:shd w:val="clear" w:fill="FFE6E6"/>
          </w:tcPr>
          <w:p>
            <w:pPr>
              <w:jc w:val="left"/>
            </w:pPr>
            <w:r>
              <w:rPr>
                <w:b/>
                <w:color w:val="FF0000"/>
              </w:rPr>
              <w:t>2.226,4 m³</w:t>
            </w:r>
          </w:p>
        </w:tc>
      </w:tr>
    </w:tbl>
    <w:p/>
    <w:p>
      <w:pPr>
        <w:keepNext/>
        <w:widowControl/>
        <w:spacing w:after="60"/>
        <w:jc w:val="center"/>
      </w:pPr>
      <w:r>
        <w:drawing>
          <wp:inline xmlns:a="http://schemas.openxmlformats.org/drawingml/2006/main" xmlns:pic="http://schemas.openxmlformats.org/drawingml/2006/picture">
            <wp:extent cx="5486400" cy="343951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9515"/>
                    </a:xfrm>
                    <a:prstGeom prst="rect"/>
                  </pic:spPr>
                </pic:pic>
              </a:graphicData>
            </a:graphic>
          </wp:inline>
        </w:drawing>
      </w:r>
    </w:p>
    <w:p/>
    <w:p>
      <w:pPr>
        <w:keepNext/>
        <w:widowControl/>
        <w:spacing w:after="60"/>
      </w:pPr>
      <w:r>
        <w:rPr>
          <w:b/>
          <w:color w:val="003366"/>
        </w:rPr>
        <w:t>DÍA CON MAYOR CONSUMO NOCTURNO - QUILICURA DERCOMAQ (12-05-26):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2_07.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Quilicura Dercomaq registró 3 alerta(s) durante 3 día(s) del periodo analizado. La periodicidad de las alertas es puntual (menos del 20% de los días). Se identificó una proyección de filtración de 18,3 m³ ($23.201), lo que indica un patrón de fuga constante durante el periodo.</w:t>
      </w:r>
    </w:p>
    <w:p/>
    <w:p>
      <w:pPr>
        <w:keepNext/>
        <w:widowControl/>
        <w:spacing w:after="60"/>
      </w:pPr>
      <w:r>
        <w:rPr>
          <w:b/>
          <w:color w:val="003366"/>
        </w:rPr>
        <w:t>DÍA CON MAYOR CONSUMO NOCTURNO - QUILICURA LAV. DE MAQUINAS (20-05-26):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2_08.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Quilicura Lav. de Maquinas registró 2 alerta(s) durante 2 día(s) del periodo analizado. La periodicidad de las alertas es puntual (menos del 20% de los días).</w:t>
      </w:r>
    </w:p>
    <w:p/>
    <w:p>
      <w:pPr>
        <w:keepNext/>
        <w:widowControl/>
        <w:spacing w:after="60"/>
      </w:pPr>
      <w:r>
        <w:rPr>
          <w:b/>
          <w:color w:val="003366"/>
        </w:rPr>
        <w:t>DÍA CON MAYOR CONSUMO NOCTURNO - QUILICURA CASINO (05-05-26):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2_09.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Quilicura Casino registró 36 alerta(s) durante 21 día(s) del periodo analizado. La periodicidad de las alertas es regular (más del 50% de los días).</w:t>
      </w:r>
    </w:p>
    <w:p/>
    <w:p>
      <w:pPr>
        <w:keepNext/>
        <w:widowControl/>
        <w:spacing w:after="60"/>
      </w:pPr>
      <w:r>
        <w:rPr>
          <w:b/>
          <w:color w:val="003366"/>
        </w:rPr>
        <w:t>DÍA CON MAYOR CONSUMO NOCTURNO - QUILICURA PRODERCO (21-05-26):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2_10.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Quilicura Proderco registró 13 alerta(s) durante 12 día(s) del periodo analizado. La periodicidad de las alertas es intermitente (más del 20% de los días). Se identificó una proyección de filtración de 55,5 m³ ($70.495), lo que indica un patrón de fuga constante durante el periodo.</w:t>
      </w:r>
    </w:p>
    <w:p/>
    <w:p>
      <w:pPr>
        <w:keepNext/>
        <w:widowControl/>
        <w:spacing w:after="60"/>
      </w:pPr>
      <w:r>
        <w:rPr>
          <w:b/>
          <w:color w:val="003366"/>
        </w:rPr>
        <w:t>DÍA CON MAYOR CONSUMO NOCTURNO - QUILICURA EDIFICIO JCB (18-05-26):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2_12.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Quilicura Edificio JCB registró 33 alerta(s) durante 29 día(s) del periodo analizado. La periodicidad de las alertas es frecuente (más del 80% de los días). Se identificó una proyección de filtración de 30,5 m³ ($38.732),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Quilicura Matriz Principal, Quilicura Camarines, Quilicura Proderco, Quilicura Edificio JCB y Quilicura Dercomaq.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