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DERCO</w:t>
      </w:r>
    </w:p>
    <w:p>
      <w:pPr>
        <w:jc w:val="center"/>
      </w:pPr>
      <w:r>
        <w:t>MONITOREO WES</w:t>
        <w:br/>
        <w:t>Análisis consolidado de 7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7.</w:t>
        <w:br/>
      </w:r>
      <w:r>
        <w:t>Consumo total agregado: 3.330,2 m³.</w:t>
        <w:br/>
      </w:r>
      <w:r>
        <w:t>Consumo promedio por punto: 475,7 m³.</w:t>
        <w:br/>
      </w:r>
      <w:r>
        <w:t>Total de alertas registradas: 117.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DERCO registró un consumo total de 3.330,2 m³ en el periodo entre 7 puntos de monitoreo. Los de mayor demanda fueron: Quilicura Matriz Principal (2.837,1 m³, 85,2 %), Quilicura Camarines (166,9 m³, 5 %), Quilicura Proderco (88,5 m³, 2,7 %). El menor consumo correspondió a Quilicura Edificio JCB (46,5 m³, 1,4 %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MATRIZ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QUILICURA DERCOMAQ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LAV. DE MAQUINAS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CASINO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PRODERCO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CAMARINES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QUILICURA EDIFICIO JCB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MATRIZ PRINCIPAL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Matriz Principal fue el 25/06/2026 con 182.5 m³ registrados, un 93 % por sobre el promedio diario del periodo (94.6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DERCOMAQ — 16/06/2026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Dercomaq fue el 16/06/2026 con 3.5 m³ registrados, un 111 % por sobre el promedio diario del periodo (1.7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LAV. DE MAQUINAS — 23/06/2026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Lav. de Maquinas fue el 23/06/2026 con 3.8 m³ registrados, un 106 % por sobre el promedio diario del periodo (1.9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CASINO — 09/06/2026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Casino fue el 09/06/2026 con 6.5 m³ registrados, un 131 % por sobre el promedio diario del periodo (2.8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PRODERCO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Proderco fue el 25/06/2026 con 17.6 m³ registrados, un 498 % por sobre el promedio diario del periodo (2.9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CAMARINES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Camarines fue el 02/06/2026 con 14.0 m³ registrados, un 151 % por sobre el promedio diario del periodo (5.6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EDIFICIO JCB — 24/06/2026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Edificio JCB fue el 24/06/2026 con 3.6 m³ registrados, un 131 % por sobre el promedio diario del periodo (1.6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1596"/>
        <w:gridCol w:w="1105"/>
        <w:gridCol w:w="982"/>
        <w:gridCol w:w="1473"/>
        <w:gridCol w:w="122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Matriz Principal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2.837,1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579,6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$736.136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Camarines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166,9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38,9 m³</w:t>
            </w:r>
          </w:p>
          <w:p>
            <w:pPr>
              <w:jc w:val="left"/>
            </w:pPr>
            <w:r>
              <w:t>(27 días, 90%)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$49.431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Proderco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88,5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14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$17.792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Casino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84,8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18,9 m³</w:t>
            </w:r>
          </w:p>
          <w:p>
            <w:pPr>
              <w:jc w:val="left"/>
            </w:pPr>
            <w:r>
              <w:t>(22 días, 73,3%)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$24.050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Lav. de Maquinas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9,8 m³</w:t>
            </w:r>
          </w:p>
          <w:p>
            <w:pPr>
              <w:jc w:val="left"/>
            </w:pPr>
            <w:r>
              <w:t>(22 días, 73,3%)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$12.497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Dercomaq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5,9 m³</w:t>
            </w:r>
          </w:p>
          <w:p>
            <w:pPr>
              <w:jc w:val="left"/>
            </w:pPr>
            <w:r>
              <w:t>(24 días, 80%)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$7.430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Edificio JCB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46,5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11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$13.959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3.330,2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79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678,2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$861.295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consumo_nocturno_perio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Matriz Principal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579,6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$736.136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Camarines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$49.431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Casino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18,9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$24.050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Proderco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$17.792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Edificio JCB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$13.959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Lav. de Maquinas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$12.497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Dercomaq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$7.430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DERCO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678,2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$861.295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DERCO registró un total de 678,2 m³ en horario nocturno (Quilicura Matriz Principal (579,6 m³), Quilicura Camarines (38,9 m³), Quilicura Casino (18,9 m³) y 40,7 m³ en los demás puntos), equivalente a $861.295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