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DERCO</w:t>
      </w:r>
    </w:p>
    <w:p>
      <w:pPr>
        <w:jc w:val="center"/>
      </w:pPr>
      <w:r>
        <w:t>MONITOREO WES</w:t>
        <w:br/>
        <w:t>Análisis consolidado de 7 puntos de monitoreo</w:t>
        <w:br/>
        <w:t>Rango: 01-07-26 - 28-07-26</w:t>
        <w:br/>
        <w:t>Generado: 28-07-26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7.</w:t>
        <w:br/>
      </w:r>
      <w:r>
        <w:t>Consumo total agregado: 3.146 m³.</w:t>
        <w:br/>
      </w:r>
      <w:r>
        <w:t>Consumo promedio por punto: 449,4 m³.</w:t>
        <w:br/>
      </w:r>
      <w:r>
        <w:t>Total de alertas registradas: 90.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DERCO registró un consumo total de 3.146 m³ en el periodo entre 7 puntos de monitoreo. Los de mayor demanda fueron: Quilicura Matriz Principal (2.548,4 m³, 81 %), Quilicura Edificio JCB (222,4 m³, 7,1 %), Quilicura Casino (117,5 m³, 3,7 %). El menor consumo correspondió a Quilicura Dercomaq (41 m³, 1,3 %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MATRIZ PRINCIPAL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QUILICURA DERCOMAQ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0,05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QUILICURA LAV. DE MAQUINAS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0,48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QUILICURA CASINO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0,29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QUILICURA PRODERCO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QUILICURA CAMARINES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QUILICURA EDIFICIO JCB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diario_000012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24/07/2026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27/07/2026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28/07/2026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0,01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MATRIZ PRINCIPAL — 02/07/2026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Matriz Principal fue el 02/07/2026 con 160.4 m³ registrados, un 76 % por sobre el promedio diario del periodo (91.0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DERCOMAQ — 06/07/2026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Dercomaq fue el 06/07/2026 con 2.8 m³ registrados, un 89 % por sobre el promedio diario del periodo (1.5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LAV. DE MAQUINAS — 07/07/2026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Lav. de Maquinas fue el 07/07/2026 con 3.5 m³ registrados, un 117 % por sobre el promedio diario del periodo (1.6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CASINO — 19/07/2026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Casino fue el 19/07/2026 con 17.4 m³ registrados, un 314 % por sobre el promedio diario del periodo (4.2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PRODERCO — 02/07/2026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Proderco fue el 02/07/2026 con 10.8 m³ registrados, un 444 % por sobre el promedio diario del periodo (2.0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CAMARINES — 27/07/2026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Camarines fue el 27/07/2026 con 35.3 m³ registrados, un 756 % por sobre el promedio diario del periodo (4.1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QUILICURA EDIFICIO JCB — 07/07/2026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max_dia_000012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Quilicura Edificio JCB fue el 07/07/2026 con 124.5 m³ registrados, un 1467 % por sobre el promedio diario del periodo (7.9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7"/>
        <w:gridCol w:w="1596"/>
        <w:gridCol w:w="1105"/>
        <w:gridCol w:w="982"/>
        <w:gridCol w:w="1473"/>
        <w:gridCol w:w="1227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Quilicura Matriz Principal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2.548,4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346,7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$440.284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Edificio JCB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222,4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50,9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$64.605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Quilicura Casino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117,5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5,8 m³</w:t>
            </w:r>
          </w:p>
          <w:p>
            <w:pPr>
              <w:jc w:val="left"/>
            </w:pPr>
            <w:r>
              <w:t>(19 días, 67,9%)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$7.417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Camarines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115,6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35,5 m³</w:t>
            </w:r>
          </w:p>
          <w:p>
            <w:pPr>
              <w:jc w:val="left"/>
            </w:pPr>
            <w:r>
              <w:t>(25 días, 89,3%)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$45.022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Quilicura Proderco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55,8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3,6 m³</w:t>
            </w:r>
          </w:p>
          <w:p>
            <w:pPr>
              <w:jc w:val="left"/>
            </w:pPr>
            <w:r>
              <w:t>(28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$4.597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Lav. de Maquinas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45,3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Quilicura Dercomaq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41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0,9 m³</w:t>
            </w:r>
          </w:p>
          <w:p>
            <w:pPr>
              <w:jc w:val="left"/>
            </w:pPr>
            <w:r>
              <w:t>(22 días, 78,6%)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$1.143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3.146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60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443,4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$563.067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2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co_consumo_nocturno_perio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Quilicura Matriz Principal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346,7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$440.284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Edificio JCB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50,9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$64.605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Quilicura Camarines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35,5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$45.022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Casino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5,8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$7.417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Quilicura Proderco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3,6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$4.597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Quilicura Dercomaq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$1.143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Quilicura Lav. de Maquinas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$0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DERCO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443,4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$563.067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28 días del periodo, DERCO registró un total de 443,4 m³ en horario nocturno (Quilicura Matriz Principal (346,7 m³), Quilicura Edificio JCB (50,9 m³), Quilicura Camarines (35,5 m³) y 10,4 m³ en los demás puntos), equivalente a $563.067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