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Estadio Israelita Maccabi Matriz Chesterton</w:t>
      </w:r>
    </w:p>
    <w:p>
      <w:pPr>
        <w:jc w:val="center"/>
      </w:pPr>
      <w:r>
        <w:t>MONITOREO WES</w:t>
        <w:br/>
        <w:t>Matriz Chesterton</w:t>
        <w:br/>
        <w:t>Rango: 01-01-26 - 31-01-26</w:t>
        <w:br/>
        <w:t>Generado: 06-03-26 14:49</w:t>
      </w:r>
    </w:p>
    <w:p>
      <w:pPr>
        <w:pStyle w:val="Heading1"/>
        <w:keepNext/>
        <w:widowControl/>
        <w:spacing w:after="60"/>
      </w:pPr>
      <w:r>
        <w:rPr>
          <w:b/>
          <w:color w:val="003366"/>
        </w:rPr>
        <w:t>RESUMEN EJECUTIVO</w:t>
      </w:r>
    </w:p>
    <w:p>
      <w:r>
        <w:t>Consumo total: 1.281 m³.</w:t>
        <w:br/>
      </w:r>
      <w:r>
        <w:t>Promedio diario: 47,4 m³.</w:t>
        <w:br/>
      </w:r>
      <w:r>
        <w:t>Número de días del periodo del reporte: 31.</w:t>
        <w:br/>
      </w:r>
      <w:r>
        <w:t>Día pico: 19-01-26 (90,6 m³).</w:t>
        <w:br/>
      </w:r>
      <w:r>
        <w:t>Número de alertas de consumo nocturno: 8.</w:t>
        <w:br/>
      </w:r>
    </w:p>
    <w:p>
      <w:pPr>
        <w:pStyle w:val="Heading1"/>
        <w:keepNext/>
        <w:widowControl/>
        <w:spacing w:after="60"/>
      </w:pPr>
      <w:r>
        <w:rPr>
          <w:b/>
          <w:color w:val="003366"/>
        </w:rPr>
        <w:t>CONSUMO</w:t>
      </w:r>
    </w:p>
    <w:p>
      <w:pPr>
        <w:jc w:val="both"/>
      </w:pPr>
      <w:r>
        <w:rPr>
          <w:color w:val="000000"/>
        </w:rPr>
        <w:t>En la gráfica se representan 27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30-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19-01-26 con 90,6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3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5 de enero de 2026 hasta el domingo 25 de enero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3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3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18-01-26: Aumento del 73,6% (de 32,4 m³ a 56,2 m³). El equipo de monitoreo WES alertó este evento. • 19-01-26: Aumento del 61,1% (de 56,2 m³ a 90,6 m³). El día pico (19-01-26) registró un consumo de 90,6 m³, lo que representa un 90,9% por encima del promedio diario (47,4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1.281</w:t>
            </w:r>
          </w:p>
        </w:tc>
      </w:tr>
      <w:tr>
        <w:tc>
          <w:tcPr>
            <w:tcW w:type="dxa" w:w="4320"/>
            <w:noWrap/>
          </w:tcPr>
          <w:p>
            <w:r>
              <w:t>Promedio diario (m³)</w:t>
            </w:r>
          </w:p>
        </w:tc>
        <w:tc>
          <w:tcPr>
            <w:tcW w:type="dxa" w:w="4320"/>
            <w:noWrap/>
          </w:tcPr>
          <w:p>
            <w:r>
              <w:t>47,4</w:t>
            </w:r>
          </w:p>
        </w:tc>
      </w:tr>
      <w:tr>
        <w:tc>
          <w:tcPr>
            <w:tcW w:type="dxa" w:w="4320"/>
            <w:noWrap/>
          </w:tcPr>
          <w:p>
            <w:r>
              <w:t>Promedio mensual (m³)</w:t>
            </w:r>
          </w:p>
        </w:tc>
        <w:tc>
          <w:tcPr>
            <w:tcW w:type="dxa" w:w="4320"/>
            <w:noWrap/>
          </w:tcPr>
          <w:p>
            <w:r>
              <w:t>1.423,3</w:t>
            </w:r>
          </w:p>
        </w:tc>
      </w:tr>
      <w:tr>
        <w:tc>
          <w:tcPr>
            <w:tcW w:type="dxa" w:w="4320"/>
            <w:noWrap/>
          </w:tcPr>
          <w:p>
            <w:r>
              <w:t>Máximo diario</w:t>
            </w:r>
          </w:p>
        </w:tc>
        <w:tc>
          <w:tcPr>
            <w:tcW w:type="dxa" w:w="4320"/>
            <w:noWrap/>
          </w:tcPr>
          <w:p>
            <w:r>
              <w:t>90,6 m³ (19-01-26)</w:t>
            </w:r>
          </w:p>
        </w:tc>
      </w:tr>
      <w:tr>
        <w:tc>
          <w:tcPr>
            <w:tcW w:type="dxa" w:w="4320"/>
            <w:noWrap/>
          </w:tcPr>
          <w:p>
            <w:r>
              <w:t>Mínimo diario</w:t>
            </w:r>
          </w:p>
        </w:tc>
        <w:tc>
          <w:tcPr>
            <w:tcW w:type="dxa" w:w="4320"/>
            <w:noWrap/>
          </w:tcPr>
          <w:p>
            <w:r>
              <w:t>0 m³ (31-01-26)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25</w:t>
            </w:r>
          </w:p>
        </w:tc>
      </w:tr>
      <w:tr>
        <w:tc>
          <w:tcPr>
            <w:tcW w:type="dxa" w:w="4320"/>
            <w:noWrap/>
          </w:tcPr>
          <w:p>
            <w:r>
              <w:t>Número de días sin consumo nocturno</w:t>
            </w:r>
          </w:p>
        </w:tc>
        <w:tc>
          <w:tcPr>
            <w:tcW w:type="dxa" w:w="4320"/>
            <w:noWrap/>
          </w:tcPr>
          <w:p>
            <w:r>
              <w:t>6</w:t>
            </w:r>
          </w:p>
        </w:tc>
      </w:tr>
      <w:tr>
        <w:tc>
          <w:tcPr>
            <w:tcW w:type="dxa" w:w="4320"/>
            <w:noWrap/>
          </w:tcPr>
          <w:p>
            <w:r>
              <w:t>Consumo nocturno (m³)</w:t>
            </w:r>
          </w:p>
        </w:tc>
        <w:tc>
          <w:tcPr>
            <w:tcW w:type="dxa" w:w="4320"/>
            <w:noWrap/>
          </w:tcPr>
          <w:p>
            <w:r>
              <w:t>724,4</w:t>
            </w:r>
          </w:p>
        </w:tc>
      </w:tr>
      <w:tr>
        <w:tc>
          <w:tcPr>
            <w:tcW w:type="dxa" w:w="4320"/>
            <w:noWrap/>
          </w:tcPr>
          <w:p>
            <w:r>
              <w:t>Consumo diurno efectivo (m³)</w:t>
            </w:r>
          </w:p>
        </w:tc>
        <w:tc>
          <w:tcPr>
            <w:tcW w:type="dxa" w:w="4320"/>
            <w:noWrap/>
          </w:tcPr>
          <w:p>
            <w:r>
              <w:t>556,6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2963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2963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Chesterton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30-02.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(19-01-26):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30-02.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(80,6%)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3,89</w:t>
            </w:r>
          </w:p>
        </w:tc>
      </w:tr>
      <w:tr>
        <w:tc>
          <w:tcPr>
            <w:tcW w:type="dxa" w:w="4320"/>
            <w:noWrap/>
          </w:tcPr>
          <w:p>
            <w:r>
              <w:t>Proyección día filtración (m³/día)</w:t>
            </w:r>
          </w:p>
        </w:tc>
        <w:tc>
          <w:tcPr>
            <w:tcW w:type="dxa" w:w="4320"/>
            <w:noWrap/>
          </w:tcPr>
          <w:p>
            <w:r>
              <w:t>93,5</w:t>
            </w:r>
          </w:p>
        </w:tc>
      </w:tr>
      <w:tr>
        <w:tc>
          <w:tcPr>
            <w:tcW w:type="dxa" w:w="4320"/>
            <w:noWrap/>
          </w:tcPr>
          <w:p>
            <w:r>
              <w:t>Proyección filtración del periodo (m³)</w:t>
            </w:r>
          </w:p>
        </w:tc>
        <w:tc>
          <w:tcPr>
            <w:tcW w:type="dxa" w:w="4320"/>
            <w:noWrap/>
          </w:tcPr>
          <w:p>
            <w:r>
              <w:t>2.897,7</w:t>
            </w:r>
          </w:p>
        </w:tc>
      </w:tr>
      <w:tr>
        <w:tc>
          <w:tcPr>
            <w:tcW w:type="dxa" w:w="4320"/>
            <w:noWrap/>
          </w:tcPr>
          <w:p>
            <w:r>
              <w:t>Consumo efectivo del periodo (m³)</w:t>
            </w:r>
          </w:p>
        </w:tc>
        <w:tc>
          <w:tcPr>
            <w:tcW w:type="dxa" w:w="4320"/>
            <w:noWrap/>
          </w:tcPr>
          <w:p>
            <w:r>
              <w:t>-1.616,7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