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Fundo Zapallar</w:t>
      </w:r>
    </w:p>
    <w:p>
      <w:pPr>
        <w:jc w:val="center"/>
      </w:pPr>
      <w:r>
        <w:t>MONITOREO WES</w:t>
        <w:br/>
        <w:t>Análisis consolidado de 4 puntos de monitoreo</w:t>
        <w:br/>
        <w:t>Rango: 01-03-26 - 31-03-26</w:t>
        <w:br/>
        <w:t>Generado: 02-04-26 15:28</w:t>
      </w:r>
    </w:p>
    <w:p>
      <w:pPr>
        <w:pStyle w:val="Heading1"/>
        <w:keepNext/>
        <w:widowControl/>
        <w:spacing w:after="60"/>
      </w:pPr>
      <w:r>
        <w:rPr>
          <w:b/>
          <w:color w:val="003366"/>
        </w:rPr>
        <w:t>RESUMEN EJECUTIVO AGREGADO</w:t>
      </w:r>
    </w:p>
    <w:p>
      <w:r>
        <w:t>Puntos de monitoreo analizados: 4.</w:t>
        <w:br/>
      </w:r>
      <w:r>
        <w:t>Consumo total agregado: 35.827,1 m³.</w:t>
        <w:br/>
      </w:r>
      <w:r>
        <w:t>Consumo promedio por punto: 8.956,8 m³.</w:t>
        <w:br/>
      </w:r>
      <w:r>
        <w:t>Total de alertas registradas: 17.</w:t>
        <w:br/>
      </w:r>
      <w:r>
        <w:t>Promedio de alerta agregado: 0,3 m³/h.</w:t>
        <w:br/>
      </w:r>
      <w:r>
        <w:t>Proyección diaria de consumo nocturno agregada: 6,7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Etapa N°5, con un total de 17.873,4 m³ durante el periodo analizado. Este valor representa un 99,6% por encima del promedio (8.956,8 m³ por punto), indicando una demanda significativamente superior a la media. Por otro lado, el punto con menor consumo es Matriz ESVAL, con un total de 1.987 m³. Este valor representa un 77,8% por debajo del promedio, mostrando una demanda significativamente inferior. La diferencia entre el punto de mayor y menor consumo es considerable, siendo el consumo máximo aproximadamente 9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064"/>
        <w:gridCol w:w="1126"/>
        <w:gridCol w:w="1001"/>
        <w:gridCol w:w="1689"/>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Etapa N°5</w:t>
            </w:r>
          </w:p>
        </w:tc>
        <w:tc>
          <w:tcPr>
            <w:tcW w:type="dxa" w:w="1440"/>
            <w:noWrap/>
          </w:tcPr>
          <w:p>
            <w:r>
              <w:t>17.873,4</w:t>
            </w:r>
          </w:p>
        </w:tc>
        <w:tc>
          <w:tcPr>
            <w:tcW w:type="dxa" w:w="1440"/>
            <w:noWrap/>
          </w:tcPr>
          <w:p>
            <w:r>
              <w:t>11</w:t>
            </w:r>
          </w:p>
        </w:tc>
        <w:tc>
          <w:tcPr>
            <w:tcW w:type="dxa" w:w="1440"/>
            <w:noWrap/>
          </w:tcPr>
          <w:p>
            <w:pPr>
              <w:jc w:val="left"/>
            </w:pPr>
            <w:r>
              <w:t>3.921,6 m³</w:t>
            </w:r>
          </w:p>
          <w:p>
            <w:pPr>
              <w:jc w:val="left"/>
            </w:pPr>
            <w:r>
              <w:t>(29 días, 93,5%)</w:t>
            </w:r>
          </w:p>
        </w:tc>
        <w:tc>
          <w:tcPr>
            <w:tcW w:type="dxa" w:w="1440"/>
            <w:noWrap/>
          </w:tcPr>
          <w:p>
            <w:pPr>
              <w:jc w:val="left"/>
            </w:pPr>
            <w:r>
              <w:t>0,0 m³</w:t>
            </w:r>
          </w:p>
          <w:p>
            <w:pPr>
              <w:jc w:val="left"/>
            </w:pPr>
            <w:r>
              <w:t>(0,0%)</w:t>
            </w:r>
          </w:p>
        </w:tc>
      </w:tr>
      <w:tr>
        <w:tc>
          <w:tcPr>
            <w:tcW w:type="dxa" w:w="1440"/>
            <w:noWrap/>
          </w:tcPr>
          <w:p>
            <w:r>
              <w:t>2</w:t>
            </w:r>
          </w:p>
        </w:tc>
        <w:tc>
          <w:tcPr>
            <w:tcW w:type="dxa" w:w="1440"/>
            <w:noWrap/>
          </w:tcPr>
          <w:p>
            <w:r>
              <w:t>Estanque Inferior</w:t>
            </w:r>
          </w:p>
        </w:tc>
        <w:tc>
          <w:tcPr>
            <w:tcW w:type="dxa" w:w="1440"/>
            <w:noWrap/>
          </w:tcPr>
          <w:p>
            <w:r>
              <w:t>11.802,1</w:t>
            </w:r>
          </w:p>
        </w:tc>
        <w:tc>
          <w:tcPr>
            <w:tcW w:type="dxa" w:w="1440"/>
            <w:noWrap/>
          </w:tcPr>
          <w:p>
            <w:r>
              <w:t>0</w:t>
            </w:r>
          </w:p>
        </w:tc>
        <w:tc>
          <w:tcPr>
            <w:tcW w:type="dxa" w:w="1440"/>
            <w:noWrap/>
          </w:tcPr>
          <w:p>
            <w:pPr>
              <w:jc w:val="left"/>
            </w:pPr>
            <w:r>
              <w:t>5.834 m³</w:t>
            </w:r>
          </w:p>
          <w:p>
            <w:pPr>
              <w:jc w:val="left"/>
            </w:pPr>
            <w:r>
              <w:t>(31 días, 100%)</w:t>
            </w:r>
          </w:p>
        </w:tc>
        <w:tc>
          <w:tcPr>
            <w:tcW w:type="dxa" w:w="1440"/>
            <w:noWrap/>
          </w:tcPr>
          <w:p>
            <w:pPr>
              <w:jc w:val="left"/>
            </w:pPr>
            <w:r>
              <w:t>23.336,1 m³</w:t>
            </w:r>
          </w:p>
          <w:p>
            <w:pPr>
              <w:jc w:val="left"/>
            </w:pPr>
            <w:r>
              <w:t>(197,7%)</w:t>
            </w:r>
          </w:p>
        </w:tc>
      </w:tr>
      <w:tr>
        <w:tc>
          <w:tcPr>
            <w:tcW w:type="dxa" w:w="1440"/>
            <w:noWrap/>
          </w:tcPr>
          <w:p>
            <w:r>
              <w:t>3</w:t>
            </w:r>
          </w:p>
        </w:tc>
        <w:tc>
          <w:tcPr>
            <w:tcW w:type="dxa" w:w="1440"/>
            <w:noWrap/>
          </w:tcPr>
          <w:p>
            <w:r>
              <w:t>Etapa N°1 al 4</w:t>
            </w:r>
          </w:p>
        </w:tc>
        <w:tc>
          <w:tcPr>
            <w:tcW w:type="dxa" w:w="1440"/>
            <w:noWrap/>
          </w:tcPr>
          <w:p>
            <w:r>
              <w:t>4.164,5</w:t>
            </w:r>
          </w:p>
        </w:tc>
        <w:tc>
          <w:tcPr>
            <w:tcW w:type="dxa" w:w="1440"/>
            <w:noWrap/>
          </w:tcPr>
          <w:p>
            <w:r>
              <w:t>0</w:t>
            </w:r>
          </w:p>
        </w:tc>
        <w:tc>
          <w:tcPr>
            <w:tcW w:type="dxa" w:w="1440"/>
            <w:noWrap/>
          </w:tcPr>
          <w:p>
            <w:pPr>
              <w:jc w:val="left"/>
            </w:pPr>
            <w:r>
              <w:t>2.369,2 m³</w:t>
            </w:r>
          </w:p>
          <w:p>
            <w:pPr>
              <w:jc w:val="left"/>
            </w:pPr>
            <w:r>
              <w:t>(31 días, 100%)</w:t>
            </w:r>
          </w:p>
        </w:tc>
        <w:tc>
          <w:tcPr>
            <w:tcW w:type="dxa" w:w="1440"/>
            <w:noWrap/>
          </w:tcPr>
          <w:p>
            <w:pPr>
              <w:jc w:val="left"/>
            </w:pPr>
            <w:r>
              <w:t>9.477 m³</w:t>
            </w:r>
          </w:p>
          <w:p>
            <w:pPr>
              <w:jc w:val="left"/>
            </w:pPr>
            <w:r>
              <w:t>(227,6%)</w:t>
            </w:r>
          </w:p>
        </w:tc>
      </w:tr>
      <w:tr>
        <w:tc>
          <w:tcPr>
            <w:tcW w:type="dxa" w:w="1440"/>
            <w:noWrap/>
          </w:tcPr>
          <w:p>
            <w:r>
              <w:t>4</w:t>
            </w:r>
          </w:p>
        </w:tc>
        <w:tc>
          <w:tcPr>
            <w:tcW w:type="dxa" w:w="1440"/>
            <w:noWrap/>
          </w:tcPr>
          <w:p>
            <w:r>
              <w:t>Matriz ESVAL</w:t>
            </w:r>
          </w:p>
        </w:tc>
        <w:tc>
          <w:tcPr>
            <w:tcW w:type="dxa" w:w="1440"/>
            <w:noWrap/>
          </w:tcPr>
          <w:p>
            <w:r>
              <w:t>1.987</w:t>
            </w:r>
          </w:p>
        </w:tc>
        <w:tc>
          <w:tcPr>
            <w:tcW w:type="dxa" w:w="1440"/>
            <w:noWrap/>
          </w:tcPr>
          <w:p>
            <w:r>
              <w:t>6</w:t>
            </w:r>
          </w:p>
        </w:tc>
        <w:tc>
          <w:tcPr>
            <w:tcW w:type="dxa" w:w="1440"/>
            <w:noWrap/>
          </w:tcPr>
          <w:p>
            <w:pPr>
              <w:jc w:val="left"/>
            </w:pPr>
            <w:r>
              <w:t>822 m³</w:t>
            </w:r>
          </w:p>
          <w:p>
            <w:pPr>
              <w:jc w:val="left"/>
            </w:pPr>
            <w:r>
              <w:t>(25 días, 80,6%)</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35.827,1</w:t>
            </w:r>
          </w:p>
        </w:tc>
        <w:tc>
          <w:tcPr>
            <w:tcW w:type="dxa" w:w="1440"/>
            <w:noWrap/>
            <w:shd w:val="clear" w:fill="FFE6E6"/>
          </w:tcPr>
          <w:p>
            <w:pPr>
              <w:jc w:val="left"/>
            </w:pPr>
            <w:r>
              <w:rPr>
                <w:b/>
                <w:color w:val="FF0000"/>
              </w:rPr>
              <w:t>17</w:t>
            </w:r>
          </w:p>
        </w:tc>
        <w:tc>
          <w:tcPr>
            <w:tcW w:type="dxa" w:w="1440"/>
            <w:noWrap/>
            <w:shd w:val="clear" w:fill="FFE6E6"/>
          </w:tcPr>
          <w:p>
            <w:pPr>
              <w:jc w:val="left"/>
            </w:pPr>
            <w:r>
              <w:rPr>
                <w:b/>
                <w:color w:val="FF0000"/>
              </w:rPr>
              <w:t>12.946,8 m³</w:t>
            </w:r>
          </w:p>
        </w:tc>
        <w:tc>
          <w:tcPr>
            <w:tcW w:type="dxa" w:w="1440"/>
            <w:noWrap/>
            <w:shd w:val="clear" w:fill="FFE6E6"/>
          </w:tcPr>
          <w:p>
            <w:pPr>
              <w:jc w:val="left"/>
            </w:pPr>
            <w:r>
              <w:rPr>
                <w:b/>
                <w:color w:val="FF0000"/>
              </w:rPr>
              <w:t>32.813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MATRIZ ESVAL (18-03-26):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7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Matriz ESVAL registró 6 alerta(s) durante 6 día(s) del periodo analizado. La periodicidad de las alertas es puntual (menos del 20% de los días).</w:t>
      </w:r>
    </w:p>
    <w:p/>
    <w:p>
      <w:pPr>
        <w:keepNext/>
        <w:widowControl/>
        <w:spacing w:after="60"/>
      </w:pPr>
      <w:r>
        <w:rPr>
          <w:b/>
          <w:color w:val="003366"/>
        </w:rPr>
        <w:t>DÍA CON MAYOR CONSUMO NOCTURNO - ETAPA N°5 (22-03-26):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7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Etapa N°5 registró 11 alerta(s) durante 8 día(s) del periodo analizado. La periodicidad de las alertas es intermitente (más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NOTA: Para este análisis, se ha excluido el punto Estanque Inferior del cálculo de consumo efectivo y proyección de consumo nocturno, ya que este punto no se considera en el análisis de balance hídrico.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5" name="Picture 5"/>
            <wp:cNvGraphicFramePr>
              <a:graphicFrameLocks noChangeAspect="1"/>
            </wp:cNvGraphicFramePr>
            <a:graphic>
              <a:graphicData uri="http://schemas.openxmlformats.org/drawingml/2006/picture">
                <pic:pic>
                  <pic:nvPicPr>
                    <pic:cNvPr id="0" name="chart_comparacion_mensual_agregada.png"/>
                    <pic:cNvPicPr/>
                  </pic:nvPicPr>
                  <pic:blipFill>
                    <a:blip r:embed="rId14"/>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Estanque Inferior y Etapa N°1 al 4.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