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Fundo Zapallar</w:t>
      </w:r>
    </w:p>
    <w:p>
      <w:pPr>
        <w:jc w:val="center"/>
      </w:pPr>
      <w:r>
        <w:t>MONITOREO WES</w:t>
        <w:br/>
        <w:t>Análisis consolidado de 8 puntos de monitoreo</w:t>
        <w:br/>
        <w:t>Rango: 01-04-26 - 30-04-26</w:t>
        <w:br/>
        <w:t>Generado: 05-05-26 18:44</w:t>
      </w:r>
    </w:p>
    <w:p>
      <w:pPr>
        <w:pStyle w:val="Heading1"/>
        <w:keepNext/>
        <w:widowControl/>
        <w:spacing w:after="60"/>
      </w:pPr>
      <w:r>
        <w:rPr>
          <w:b/>
          <w:color w:val="003366"/>
        </w:rPr>
        <w:t>RESUMEN EJECUTIVO AGREGADO</w:t>
      </w:r>
    </w:p>
    <w:p>
      <w:r>
        <w:t>Puntos de monitoreo analizados: 8.</w:t>
        <w:br/>
      </w:r>
      <w:r>
        <w:t>Consumo total agregado: 17.820,9 m³.</w:t>
        <w:br/>
      </w:r>
      <w:r>
        <w:t>Consumo promedio por punto: 2.227,6 m³.</w:t>
        <w:br/>
      </w:r>
      <w:r>
        <w:t>Total de alertas registradas: 20.</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31693"/>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31693"/>
                    </a:xfrm>
                    <a:prstGeom prst="rect"/>
                  </pic:spPr>
                </pic:pic>
              </a:graphicData>
            </a:graphic>
          </wp:inline>
        </w:drawing>
      </w:r>
    </w:p>
    <w:p/>
    <w:p>
      <w:pPr>
        <w:jc w:val="both"/>
      </w:pPr>
      <w:r>
        <w:rPr>
          <w:color w:val="000000"/>
        </w:rPr>
        <w:t>El análisis comparativo revela que el punto con mayor consumo es Etapa N°1 al 4, con un total de 3.591,1 m³ durante el periodo analizado. Este valor representa un 61,2% por encima del promedio (2.227,6 m³ por punto), indicando una demanda significativamente superior a la media. Por otro lado, el punto con menor consumo es Riego Llenado de Estanque ESVAL, con un total de 109,6 m³. Este valor representa un 95,1% por debajo del promedio, mostrando una demanda significativamente inferior. La diferencia entre el punto de mayor y menor consumo es considerable, siendo el consumo máximo aproximadamente 32,8 veces superior al mínimo, lo que sugiere variaciones significativas en los patrones de uso entre los diferentes puntos de monitoreo.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65"/>
        <w:gridCol w:w="1790"/>
        <w:gridCol w:w="1066"/>
        <w:gridCol w:w="1066"/>
        <w:gridCol w:w="1386"/>
        <w:gridCol w:w="1386"/>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Estanque Inferior</w:t>
            </w:r>
          </w:p>
        </w:tc>
        <w:tc>
          <w:tcPr>
            <w:tcW w:type="dxa" w:w="1440"/>
            <w:noWrap/>
          </w:tcPr>
          <w:p>
            <w:r>
              <w:t>8.496,9</w:t>
            </w:r>
          </w:p>
        </w:tc>
        <w:tc>
          <w:tcPr>
            <w:tcW w:type="dxa" w:w="1440"/>
            <w:noWrap/>
          </w:tcPr>
          <w:p>
            <w:r>
              <w:t>0</w:t>
            </w:r>
          </w:p>
        </w:tc>
        <w:tc>
          <w:tcPr>
            <w:tcW w:type="dxa" w:w="1440"/>
            <w:noWrap/>
          </w:tcPr>
          <w:p>
            <w:pPr>
              <w:jc w:val="left"/>
            </w:pPr>
            <w:r>
              <w:t>2.371 m³</w:t>
            </w:r>
          </w:p>
          <w:p>
            <w:pPr>
              <w:jc w:val="left"/>
            </w:pPr>
            <w:r>
              <w:t>(30 días, 100%)</w:t>
            </w:r>
          </w:p>
        </w:tc>
        <w:tc>
          <w:tcPr>
            <w:tcW w:type="dxa" w:w="1440"/>
            <w:noWrap/>
          </w:tcPr>
          <w:p>
            <w:pPr>
              <w:jc w:val="left"/>
            </w:pPr>
            <w:r>
              <w:t>8.129,1 m³</w:t>
            </w:r>
          </w:p>
          <w:p>
            <w:pPr>
              <w:jc w:val="left"/>
            </w:pPr>
            <w:r>
              <w:t>(95,7%)</w:t>
            </w:r>
          </w:p>
        </w:tc>
      </w:tr>
      <w:tr>
        <w:tc>
          <w:tcPr>
            <w:tcW w:type="dxa" w:w="1440"/>
            <w:noWrap/>
          </w:tcPr>
          <w:p>
            <w:r>
              <w:t>2</w:t>
            </w:r>
          </w:p>
        </w:tc>
        <w:tc>
          <w:tcPr>
            <w:tcW w:type="dxa" w:w="1440"/>
            <w:noWrap/>
          </w:tcPr>
          <w:p>
            <w:r>
              <w:t>Etapa N°1 al 4</w:t>
            </w:r>
          </w:p>
        </w:tc>
        <w:tc>
          <w:tcPr>
            <w:tcW w:type="dxa" w:w="1440"/>
            <w:noWrap/>
          </w:tcPr>
          <w:p>
            <w:r>
              <w:t>3.591,1</w:t>
            </w:r>
          </w:p>
        </w:tc>
        <w:tc>
          <w:tcPr>
            <w:tcW w:type="dxa" w:w="1440"/>
            <w:noWrap/>
          </w:tcPr>
          <w:p>
            <w:r>
              <w:t>0</w:t>
            </w:r>
          </w:p>
        </w:tc>
        <w:tc>
          <w:tcPr>
            <w:tcW w:type="dxa" w:w="1440"/>
            <w:noWrap/>
          </w:tcPr>
          <w:p>
            <w:pPr>
              <w:jc w:val="left"/>
            </w:pPr>
            <w:r>
              <w:t>832,3 m³</w:t>
            </w:r>
          </w:p>
          <w:p>
            <w:pPr>
              <w:jc w:val="left"/>
            </w:pPr>
            <w:r>
              <w:t>(30 días, 100%)</w:t>
            </w:r>
          </w:p>
        </w:tc>
        <w:tc>
          <w:tcPr>
            <w:tcW w:type="dxa" w:w="1440"/>
            <w:noWrap/>
          </w:tcPr>
          <w:p>
            <w:pPr>
              <w:jc w:val="left"/>
            </w:pPr>
            <w:r>
              <w:t>2.853,6 m³</w:t>
            </w:r>
          </w:p>
          <w:p>
            <w:pPr>
              <w:jc w:val="left"/>
            </w:pPr>
            <w:r>
              <w:t>(79,5%)</w:t>
            </w:r>
          </w:p>
        </w:tc>
      </w:tr>
      <w:tr>
        <w:tc>
          <w:tcPr>
            <w:tcW w:type="dxa" w:w="1440"/>
            <w:noWrap/>
          </w:tcPr>
          <w:p>
            <w:r>
              <w:t>3</w:t>
            </w:r>
          </w:p>
        </w:tc>
        <w:tc>
          <w:tcPr>
            <w:tcW w:type="dxa" w:w="1440"/>
            <w:noWrap/>
          </w:tcPr>
          <w:p>
            <w:r>
              <w:t>Matriz ESVAL</w:t>
            </w:r>
          </w:p>
        </w:tc>
        <w:tc>
          <w:tcPr>
            <w:tcW w:type="dxa" w:w="1440"/>
            <w:noWrap/>
          </w:tcPr>
          <w:p>
            <w:r>
              <w:t>3.060,1</w:t>
            </w:r>
          </w:p>
        </w:tc>
        <w:tc>
          <w:tcPr>
            <w:tcW w:type="dxa" w:w="1440"/>
            <w:noWrap/>
          </w:tcPr>
          <w:p>
            <w:r>
              <w:t>3</w:t>
            </w:r>
          </w:p>
        </w:tc>
        <w:tc>
          <w:tcPr>
            <w:tcW w:type="dxa" w:w="1440"/>
            <w:noWrap/>
          </w:tcPr>
          <w:p>
            <w:pPr>
              <w:jc w:val="left"/>
            </w:pPr>
            <w:r>
              <w:t>914,1 m³</w:t>
            </w:r>
          </w:p>
          <w:p>
            <w:pPr>
              <w:jc w:val="left"/>
            </w:pPr>
            <w:r>
              <w:t>(30 días, 100%)</w:t>
            </w:r>
          </w:p>
        </w:tc>
        <w:tc>
          <w:tcPr>
            <w:tcW w:type="dxa" w:w="1440"/>
            <w:noWrap/>
          </w:tcPr>
          <w:p>
            <w:pPr>
              <w:jc w:val="left"/>
            </w:pPr>
            <w:r>
              <w:t>3.134 m³</w:t>
            </w:r>
          </w:p>
          <w:p>
            <w:pPr>
              <w:jc w:val="left"/>
            </w:pPr>
            <w:r>
              <w:t>(102,4%)</w:t>
            </w:r>
          </w:p>
        </w:tc>
      </w:tr>
      <w:tr>
        <w:tc>
          <w:tcPr>
            <w:tcW w:type="dxa" w:w="1440"/>
            <w:noWrap/>
          </w:tcPr>
          <w:p>
            <w:r>
              <w:t>4</w:t>
            </w:r>
          </w:p>
        </w:tc>
        <w:tc>
          <w:tcPr>
            <w:tcW w:type="dxa" w:w="1440"/>
            <w:noWrap/>
          </w:tcPr>
          <w:p>
            <w:r>
              <w:t>Etapa N°1</w:t>
            </w:r>
          </w:p>
        </w:tc>
        <w:tc>
          <w:tcPr>
            <w:tcW w:type="dxa" w:w="1440"/>
            <w:noWrap/>
          </w:tcPr>
          <w:p>
            <w:r>
              <w:t>964,3</w:t>
            </w:r>
          </w:p>
        </w:tc>
        <w:tc>
          <w:tcPr>
            <w:tcW w:type="dxa" w:w="1440"/>
            <w:noWrap/>
          </w:tcPr>
          <w:p>
            <w:r>
              <w:t>3</w:t>
            </w:r>
          </w:p>
        </w:tc>
        <w:tc>
          <w:tcPr>
            <w:tcW w:type="dxa" w:w="1440"/>
            <w:noWrap/>
          </w:tcPr>
          <w:p>
            <w:pPr>
              <w:jc w:val="left"/>
            </w:pPr>
            <w:r>
              <w:t>165,7 m³</w:t>
            </w:r>
          </w:p>
          <w:p>
            <w:pPr>
              <w:jc w:val="left"/>
            </w:pPr>
            <w:r>
              <w:t>(30 días, 100%)</w:t>
            </w:r>
          </w:p>
        </w:tc>
        <w:tc>
          <w:tcPr>
            <w:tcW w:type="dxa" w:w="1440"/>
            <w:noWrap/>
          </w:tcPr>
          <w:p>
            <w:pPr>
              <w:jc w:val="left"/>
            </w:pPr>
            <w:r>
              <w:t>568,2 m³</w:t>
            </w:r>
          </w:p>
          <w:p>
            <w:pPr>
              <w:jc w:val="left"/>
            </w:pPr>
            <w:r>
              <w:t>(58,9%)</w:t>
            </w:r>
          </w:p>
        </w:tc>
      </w:tr>
      <w:tr>
        <w:tc>
          <w:tcPr>
            <w:tcW w:type="dxa" w:w="1440"/>
            <w:noWrap/>
          </w:tcPr>
          <w:p>
            <w:r>
              <w:t>5</w:t>
            </w:r>
          </w:p>
        </w:tc>
        <w:tc>
          <w:tcPr>
            <w:tcW w:type="dxa" w:w="1440"/>
            <w:noWrap/>
          </w:tcPr>
          <w:p>
            <w:r>
              <w:t>Etapa N°5</w:t>
            </w:r>
          </w:p>
        </w:tc>
        <w:tc>
          <w:tcPr>
            <w:tcW w:type="dxa" w:w="1440"/>
            <w:noWrap/>
          </w:tcPr>
          <w:p>
            <w:r>
              <w:t>842,4</w:t>
            </w:r>
          </w:p>
        </w:tc>
        <w:tc>
          <w:tcPr>
            <w:tcW w:type="dxa" w:w="1440"/>
            <w:noWrap/>
          </w:tcPr>
          <w:p>
            <w:r>
              <w:t>5</w:t>
            </w:r>
          </w:p>
        </w:tc>
        <w:tc>
          <w:tcPr>
            <w:tcW w:type="dxa" w:w="1440"/>
            <w:noWrap/>
          </w:tcPr>
          <w:p>
            <w:pPr>
              <w:jc w:val="left"/>
            </w:pPr>
            <w:r>
              <w:t>440,3 m³</w:t>
            </w:r>
          </w:p>
          <w:p>
            <w:pPr>
              <w:jc w:val="left"/>
            </w:pPr>
            <w:r>
              <w:t>(27 días, 90%)</w:t>
            </w:r>
          </w:p>
        </w:tc>
        <w:tc>
          <w:tcPr>
            <w:tcW w:type="dxa" w:w="1440"/>
            <w:noWrap/>
          </w:tcPr>
          <w:p>
            <w:pPr>
              <w:jc w:val="left"/>
            </w:pPr>
            <w:r>
              <w:t>1.509,6 m³</w:t>
            </w:r>
          </w:p>
          <w:p>
            <w:pPr>
              <w:jc w:val="left"/>
            </w:pPr>
            <w:r>
              <w:t>(179,2%)</w:t>
            </w:r>
          </w:p>
        </w:tc>
      </w:tr>
      <w:tr>
        <w:tc>
          <w:tcPr>
            <w:tcW w:type="dxa" w:w="1440"/>
            <w:noWrap/>
          </w:tcPr>
          <w:p>
            <w:r>
              <w:t>6</w:t>
            </w:r>
          </w:p>
        </w:tc>
        <w:tc>
          <w:tcPr>
            <w:tcW w:type="dxa" w:w="1440"/>
            <w:noWrap/>
          </w:tcPr>
          <w:p>
            <w:r>
              <w:t>Etapa N°3</w:t>
            </w:r>
          </w:p>
        </w:tc>
        <w:tc>
          <w:tcPr>
            <w:tcW w:type="dxa" w:w="1440"/>
            <w:noWrap/>
          </w:tcPr>
          <w:p>
            <w:r>
              <w:t>458,8</w:t>
            </w:r>
          </w:p>
        </w:tc>
        <w:tc>
          <w:tcPr>
            <w:tcW w:type="dxa" w:w="1440"/>
            <w:noWrap/>
          </w:tcPr>
          <w:p>
            <w:r>
              <w:t>6</w:t>
            </w:r>
          </w:p>
        </w:tc>
        <w:tc>
          <w:tcPr>
            <w:tcW w:type="dxa" w:w="1440"/>
            <w:noWrap/>
          </w:tcPr>
          <w:p>
            <w:pPr>
              <w:jc w:val="left"/>
            </w:pPr>
            <w:r>
              <w:t>82,5 m³</w:t>
            </w:r>
          </w:p>
          <w:p>
            <w:pPr>
              <w:jc w:val="left"/>
            </w:pPr>
            <w:r>
              <w:t>(30 días, 100%)</w:t>
            </w:r>
          </w:p>
        </w:tc>
        <w:tc>
          <w:tcPr>
            <w:tcW w:type="dxa" w:w="1440"/>
            <w:noWrap/>
          </w:tcPr>
          <w:p>
            <w:pPr>
              <w:jc w:val="left"/>
            </w:pPr>
            <w:r>
              <w:t>282,9 m³</w:t>
            </w:r>
          </w:p>
          <w:p>
            <w:pPr>
              <w:jc w:val="left"/>
            </w:pPr>
            <w:r>
              <w:t>(61,7%)</w:t>
            </w:r>
          </w:p>
        </w:tc>
      </w:tr>
      <w:tr>
        <w:tc>
          <w:tcPr>
            <w:tcW w:type="dxa" w:w="1440"/>
            <w:noWrap/>
          </w:tcPr>
          <w:p>
            <w:r>
              <w:t>7</w:t>
            </w:r>
          </w:p>
        </w:tc>
        <w:tc>
          <w:tcPr>
            <w:tcW w:type="dxa" w:w="1440"/>
            <w:noWrap/>
          </w:tcPr>
          <w:p>
            <w:r>
              <w:t>Etapa N°2</w:t>
            </w:r>
          </w:p>
        </w:tc>
        <w:tc>
          <w:tcPr>
            <w:tcW w:type="dxa" w:w="1440"/>
            <w:noWrap/>
          </w:tcPr>
          <w:p>
            <w:r>
              <w:t>297,6</w:t>
            </w:r>
          </w:p>
        </w:tc>
        <w:tc>
          <w:tcPr>
            <w:tcW w:type="dxa" w:w="1440"/>
            <w:noWrap/>
          </w:tcPr>
          <w:p>
            <w:r>
              <w:t>3</w:t>
            </w:r>
          </w:p>
        </w:tc>
        <w:tc>
          <w:tcPr>
            <w:tcW w:type="dxa" w:w="1440"/>
            <w:noWrap/>
          </w:tcPr>
          <w:p>
            <w:pPr>
              <w:jc w:val="left"/>
            </w:pPr>
            <w:r>
              <w:t>72,2 m³</w:t>
            </w:r>
          </w:p>
          <w:p>
            <w:pPr>
              <w:jc w:val="left"/>
            </w:pPr>
            <w:r>
              <w:t>(9 días, 69,2%)</w:t>
            </w:r>
          </w:p>
        </w:tc>
        <w:tc>
          <w:tcPr>
            <w:tcW w:type="dxa" w:w="1440"/>
            <w:noWrap/>
          </w:tcPr>
          <w:p>
            <w:pPr>
              <w:jc w:val="left"/>
            </w:pPr>
            <w:r>
              <w:t>0,0 m³</w:t>
            </w:r>
          </w:p>
          <w:p>
            <w:pPr>
              <w:jc w:val="left"/>
            </w:pPr>
            <w:r>
              <w:t>(0,0%)</w:t>
            </w:r>
          </w:p>
        </w:tc>
      </w:tr>
      <w:tr>
        <w:tc>
          <w:tcPr>
            <w:tcW w:type="dxa" w:w="1440"/>
            <w:noWrap/>
          </w:tcPr>
          <w:p>
            <w:r>
              <w:t>8</w:t>
            </w:r>
          </w:p>
        </w:tc>
        <w:tc>
          <w:tcPr>
            <w:tcW w:type="dxa" w:w="1440"/>
            <w:noWrap/>
          </w:tcPr>
          <w:p>
            <w:r>
              <w:t>Riego Llenado de Estanque ESVAL</w:t>
            </w:r>
          </w:p>
        </w:tc>
        <w:tc>
          <w:tcPr>
            <w:tcW w:type="dxa" w:w="1440"/>
            <w:noWrap/>
          </w:tcPr>
          <w:p>
            <w:r>
              <w:t>109,6</w:t>
            </w:r>
          </w:p>
        </w:tc>
        <w:tc>
          <w:tcPr>
            <w:tcW w:type="dxa" w:w="1440"/>
            <w:noWrap/>
          </w:tcPr>
          <w:p>
            <w:r>
              <w:t>0</w:t>
            </w:r>
          </w:p>
        </w:tc>
        <w:tc>
          <w:tcPr>
            <w:tcW w:type="dxa" w:w="1440"/>
            <w:noWrap/>
          </w:tcPr>
          <w:p>
            <w:pPr>
              <w:jc w:val="left"/>
            </w:pPr>
            <w:r>
              <w:t>33,9 m³</w:t>
            </w:r>
          </w:p>
          <w:p>
            <w:pPr>
              <w:jc w:val="left"/>
            </w:pPr>
            <w:r>
              <w:t>(30 días, 100%)</w:t>
            </w:r>
          </w:p>
        </w:tc>
        <w:tc>
          <w:tcPr>
            <w:tcW w:type="dxa" w:w="1440"/>
            <w:noWrap/>
          </w:tcPr>
          <w:p>
            <w:pPr>
              <w:jc w:val="left"/>
            </w:pPr>
            <w:r>
              <w:t>116,1 m³</w:t>
            </w:r>
          </w:p>
          <w:p>
            <w:pPr>
              <w:jc w:val="left"/>
            </w:pPr>
            <w:r>
              <w:t>(105,9%)</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17.820,9</w:t>
            </w:r>
          </w:p>
        </w:tc>
        <w:tc>
          <w:tcPr>
            <w:tcW w:type="dxa" w:w="1440"/>
            <w:noWrap/>
            <w:shd w:val="clear" w:fill="FFE6E6"/>
          </w:tcPr>
          <w:p>
            <w:pPr>
              <w:jc w:val="left"/>
            </w:pPr>
            <w:r>
              <w:rPr>
                <w:b/>
                <w:color w:val="FF0000"/>
              </w:rPr>
              <w:t>20</w:t>
            </w:r>
          </w:p>
        </w:tc>
        <w:tc>
          <w:tcPr>
            <w:tcW w:type="dxa" w:w="1440"/>
            <w:noWrap/>
            <w:shd w:val="clear" w:fill="FFE6E6"/>
          </w:tcPr>
          <w:p>
            <w:pPr>
              <w:jc w:val="left"/>
            </w:pPr>
            <w:r>
              <w:rPr>
                <w:b/>
                <w:color w:val="FF0000"/>
              </w:rPr>
              <w:t>4.911,9 m³</w:t>
            </w:r>
          </w:p>
        </w:tc>
        <w:tc>
          <w:tcPr>
            <w:tcW w:type="dxa" w:w="1440"/>
            <w:noWrap/>
            <w:shd w:val="clear" w:fill="FFE6E6"/>
          </w:tcPr>
          <w:p>
            <w:pPr>
              <w:jc w:val="left"/>
            </w:pPr>
            <w:r>
              <w:rPr>
                <w:b/>
                <w:color w:val="FF0000"/>
              </w:rPr>
              <w:t>16.593,4 m³</w:t>
            </w:r>
          </w:p>
        </w:tc>
      </w:tr>
    </w:tbl>
    <w:p/>
    <w:p>
      <w:pPr>
        <w:keepNext/>
        <w:widowControl/>
        <w:spacing w:after="60"/>
        <w:jc w:val="center"/>
      </w:pPr>
      <w:r>
        <w:drawing>
          <wp:inline xmlns:a="http://schemas.openxmlformats.org/drawingml/2006/main" xmlns:pic="http://schemas.openxmlformats.org/drawingml/2006/picture">
            <wp:extent cx="5486400" cy="3410465"/>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10465"/>
                    </a:xfrm>
                    <a:prstGeom prst="rect"/>
                  </pic:spPr>
                </pic:pic>
              </a:graphicData>
            </a:graphic>
          </wp:inline>
        </w:drawing>
      </w:r>
    </w:p>
    <w:p/>
    <w:p>
      <w:pPr>
        <w:keepNext/>
        <w:widowControl/>
        <w:spacing w:after="60"/>
      </w:pPr>
      <w:r>
        <w:rPr>
          <w:b/>
          <w:color w:val="003366"/>
        </w:rPr>
        <w:t>DÍA CON MAYOR CONSUMO NOCTURNO - MATRIZ ESVAL (23-04-26):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27_01.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Matriz ESVAL registró 3 alerta(s) durante 3 día(s) del periodo analizado. La periodicidad de las alertas es puntual (menos del 20% de los días). Se identificó una proyección de filtración de 3.134 m³ ($3.908.065), lo que indica un patrón de fuga constante durante el periodo.</w:t>
      </w:r>
    </w:p>
    <w:p/>
    <w:p>
      <w:pPr>
        <w:keepNext/>
        <w:widowControl/>
        <w:spacing w:after="60"/>
      </w:pPr>
      <w:r>
        <w:rPr>
          <w:b/>
          <w:color w:val="003366"/>
        </w:rPr>
        <w:t>DÍA CON MAYOR CONSUMO NOCTURNO - ETAPA N°5 (23-04-26):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27_03.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Etapa N°5 registró 5 alerta(s) durante 4 día(s) del periodo analizado. La periodicidad de las alertas es puntual (menos del 20% de los días). Se identificó una proyección de filtración de 1.509,6 m³ ($1.882.437), lo que indica un patrón de fuga constante durante el periodo.</w:t>
      </w:r>
    </w:p>
    <w:p/>
    <w:p>
      <w:pPr>
        <w:keepNext/>
        <w:widowControl/>
        <w:spacing w:after="60"/>
      </w:pPr>
      <w:r>
        <w:rPr>
          <w:b/>
          <w:color w:val="003366"/>
        </w:rPr>
        <w:t>DÍA CON MAYOR CONSUMO NOCTURNO - ETAPA N°1 (03-04-26):</w:t>
      </w:r>
    </w:p>
    <w:p>
      <w:pPr>
        <w:keepNext/>
        <w:widowControl/>
        <w:spacing w:after="60"/>
        <w:jc w:val="center"/>
      </w:pPr>
      <w:r>
        <w:drawing>
          <wp:inline xmlns:a="http://schemas.openxmlformats.org/drawingml/2006/main" xmlns:pic="http://schemas.openxmlformats.org/drawingml/2006/picture">
            <wp:extent cx="5486400" cy="2715341"/>
            <wp:docPr id="5" name="Picture 5"/>
            <wp:cNvGraphicFramePr>
              <a:graphicFrameLocks noChangeAspect="1"/>
            </wp:cNvGraphicFramePr>
            <a:graphic>
              <a:graphicData uri="http://schemas.openxmlformats.org/drawingml/2006/picture">
                <pic:pic>
                  <pic:nvPicPr>
                    <pic:cNvPr id="0" name="chart_max_nocturnal_000027_06.png"/>
                    <pic:cNvPicPr/>
                  </pic:nvPicPr>
                  <pic:blipFill>
                    <a:blip r:embed="rId14"/>
                    <a:stretch>
                      <a:fillRect/>
                    </a:stretch>
                  </pic:blipFill>
                  <pic:spPr>
                    <a:xfrm>
                      <a:off x="0" y="0"/>
                      <a:ext cx="5486400" cy="2715341"/>
                    </a:xfrm>
                    <a:prstGeom prst="rect"/>
                  </pic:spPr>
                </pic:pic>
              </a:graphicData>
            </a:graphic>
          </wp:inline>
        </w:drawing>
      </w:r>
    </w:p>
    <w:p>
      <w:pPr>
        <w:jc w:val="both"/>
      </w:pPr>
      <w:r>
        <w:rPr>
          <w:color w:val="000000"/>
        </w:rPr>
        <w:t>El nodo Etapa N°1 registró 3 alerta(s) durante 3 día(s) del periodo analizado. La periodicidad de las alertas es puntual (menos del 20% de los días). Se identificó una proyección de filtración de 568,2 m³ ($708.591), lo que indica un patrón de fuga constante durante el periodo.</w:t>
      </w:r>
    </w:p>
    <w:p/>
    <w:p>
      <w:pPr>
        <w:keepNext/>
        <w:widowControl/>
        <w:spacing w:after="60"/>
      </w:pPr>
      <w:r>
        <w:rPr>
          <w:b/>
          <w:color w:val="003366"/>
        </w:rPr>
        <w:t>DÍA CON MAYOR CONSUMO NOCTURNO - ETAPA N°2 (13-04-26):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27_07.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Etapa N°2 registró 3 alerta(s) durante 2 día(s) del periodo analizado. La periodicidad de las alertas es puntual (menos del 20% de los días).</w:t>
      </w:r>
    </w:p>
    <w:p/>
    <w:p>
      <w:pPr>
        <w:keepNext/>
        <w:widowControl/>
        <w:spacing w:after="60"/>
      </w:pPr>
      <w:r>
        <w:rPr>
          <w:b/>
          <w:color w:val="003366"/>
        </w:rPr>
        <w:t>DÍA CON MAYOR CONSUMO NOCTURNO - ETAPA N°3 (15-04-26):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27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Etapa N°3 registró 6 alerta(s) durante 6 día(s) del periodo analizado. La periodicidad de las alertas es intermitente (más del 20% de los días). Se identificó una proyección de filtración de 282,9 m³ ($352.735),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Estanque Inferior, Etapa N°1 al 4, Matriz ESVAL, Etapa N°1, Etapa N°5, Etapa N°3 y Riego Llenado de Estanque ESVAL.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