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8 puntos de monitoreo</w:t>
        <w:br/>
        <w:t>Rango: 01-05-26 - 31-05-26</w:t>
        <w:br/>
        <w:t>Generado: 01-06-26 14:30</w:t>
      </w:r>
    </w:p>
    <w:p>
      <w:pPr>
        <w:pStyle w:val="Heading1"/>
        <w:keepNext/>
        <w:widowControl/>
        <w:spacing w:after="60"/>
      </w:pPr>
      <w:r>
        <w:rPr>
          <w:b/>
          <w:color w:val="003366"/>
        </w:rPr>
        <w:t>RESUMEN EJECUTIVO AGREGADO</w:t>
      </w:r>
    </w:p>
    <w:p>
      <w:r>
        <w:t>Puntos de monitoreo analizados: 8.</w:t>
        <w:br/>
      </w:r>
      <w:r>
        <w:t>Consumo total agregado: 14.239,6 m³.</w:t>
        <w:br/>
      </w:r>
      <w:r>
        <w:t>Consumo promedio por punto: 1.779,9 m³.</w:t>
        <w:br/>
      </w:r>
      <w:r>
        <w:t>Total de alertas registradas: 63.</w:t>
        <w:br/>
      </w:r>
      <w:r>
        <w:t>Promedio de alerta agregado: 0,3 m³/h.</w:t>
        <w:br/>
      </w:r>
      <w:r>
        <w:t>Proyección diaria de consumo nocturno agregada: 7,2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Etapa N°5, con un total de 3.264,6 m³ durante el periodo analizado. Este valor representa un 83,4% por encima del promedio (1.779,9 m³ por punto), indicando una demanda significativamente superior a la media. Por otro lado, el punto con menor consumo es Riego Llenado de Estanque ESVAL, con un total de 189,1 m³. Este valor representa un 89,4% por debajo del promedio, mostrando una demanda significativamente inferior. La diferencia entre el punto de mayor y menor consumo es considerable, siendo el consumo máximo aproximadamente 17,3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9"/>
        <w:gridCol w:w="1736"/>
        <w:gridCol w:w="1060"/>
        <w:gridCol w:w="1060"/>
        <w:gridCol w:w="1512"/>
        <w:gridCol w:w="1344"/>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Etapa N°5</w:t>
            </w:r>
          </w:p>
        </w:tc>
        <w:tc>
          <w:tcPr>
            <w:tcW w:type="dxa" w:w="1440"/>
            <w:noWrap/>
          </w:tcPr>
          <w:p>
            <w:r>
              <w:t>3.264,6</w:t>
            </w:r>
          </w:p>
        </w:tc>
        <w:tc>
          <w:tcPr>
            <w:tcW w:type="dxa" w:w="1440"/>
            <w:noWrap/>
          </w:tcPr>
          <w:p>
            <w:r>
              <w:t>29</w:t>
            </w:r>
          </w:p>
        </w:tc>
        <w:tc>
          <w:tcPr>
            <w:tcW w:type="dxa" w:w="1440"/>
            <w:noWrap/>
          </w:tcPr>
          <w:p>
            <w:pPr>
              <w:jc w:val="left"/>
            </w:pPr>
            <w:r>
              <w:t>1.957,7 m³</w:t>
            </w:r>
          </w:p>
          <w:p>
            <w:pPr>
              <w:jc w:val="left"/>
            </w:pPr>
            <w:r>
              <w:t>(28 días, 90,3%)</w:t>
            </w:r>
          </w:p>
        </w:tc>
        <w:tc>
          <w:tcPr>
            <w:tcW w:type="dxa" w:w="1440"/>
            <w:noWrap/>
          </w:tcPr>
          <w:p>
            <w:pPr>
              <w:jc w:val="left"/>
            </w:pPr>
            <w:r>
              <w:t>6.712,3 m³</w:t>
            </w:r>
          </w:p>
          <w:p>
            <w:pPr>
              <w:jc w:val="left"/>
            </w:pPr>
            <w:r>
              <w:t>(205,6%)</w:t>
            </w:r>
          </w:p>
        </w:tc>
      </w:tr>
      <w:tr>
        <w:tc>
          <w:tcPr>
            <w:tcW w:type="dxa" w:w="1440"/>
            <w:noWrap/>
          </w:tcPr>
          <w:p>
            <w:r>
              <w:t>2</w:t>
            </w:r>
          </w:p>
        </w:tc>
        <w:tc>
          <w:tcPr>
            <w:tcW w:type="dxa" w:w="1440"/>
            <w:noWrap/>
          </w:tcPr>
          <w:p>
            <w:r>
              <w:t>Matriz ESVAL</w:t>
            </w:r>
          </w:p>
        </w:tc>
        <w:tc>
          <w:tcPr>
            <w:tcW w:type="dxa" w:w="1440"/>
            <w:noWrap/>
          </w:tcPr>
          <w:p>
            <w:r>
              <w:t>3.243,1</w:t>
            </w:r>
          </w:p>
        </w:tc>
        <w:tc>
          <w:tcPr>
            <w:tcW w:type="dxa" w:w="1440"/>
            <w:noWrap/>
          </w:tcPr>
          <w:p>
            <w:r>
              <w:t>8</w:t>
            </w:r>
          </w:p>
        </w:tc>
        <w:tc>
          <w:tcPr>
            <w:tcW w:type="dxa" w:w="1440"/>
            <w:noWrap/>
          </w:tcPr>
          <w:p>
            <w:pPr>
              <w:jc w:val="left"/>
            </w:pPr>
            <w:r>
              <w:t>802 m³</w:t>
            </w:r>
          </w:p>
          <w:p>
            <w:pPr>
              <w:jc w:val="left"/>
            </w:pPr>
            <w:r>
              <w:t>(31 días, 100%)</w:t>
            </w:r>
          </w:p>
        </w:tc>
        <w:tc>
          <w:tcPr>
            <w:tcW w:type="dxa" w:w="1440"/>
            <w:noWrap/>
          </w:tcPr>
          <w:p>
            <w:pPr>
              <w:jc w:val="left"/>
            </w:pPr>
            <w:r>
              <w:t>2.749,8 m³</w:t>
            </w:r>
          </w:p>
          <w:p>
            <w:pPr>
              <w:jc w:val="left"/>
            </w:pPr>
            <w:r>
              <w:t>(84,8%)</w:t>
            </w:r>
          </w:p>
        </w:tc>
      </w:tr>
      <w:tr>
        <w:tc>
          <w:tcPr>
            <w:tcW w:type="dxa" w:w="1440"/>
            <w:noWrap/>
          </w:tcPr>
          <w:p>
            <w:r>
              <w:t>3</w:t>
            </w:r>
          </w:p>
        </w:tc>
        <w:tc>
          <w:tcPr>
            <w:tcW w:type="dxa" w:w="1440"/>
            <w:noWrap/>
          </w:tcPr>
          <w:p>
            <w:r>
              <w:t>Estanque Inferior</w:t>
            </w:r>
          </w:p>
        </w:tc>
        <w:tc>
          <w:tcPr>
            <w:tcW w:type="dxa" w:w="1440"/>
            <w:noWrap/>
          </w:tcPr>
          <w:p>
            <w:r>
              <w:t>2.971,6</w:t>
            </w:r>
          </w:p>
        </w:tc>
        <w:tc>
          <w:tcPr>
            <w:tcW w:type="dxa" w:w="1440"/>
            <w:noWrap/>
          </w:tcPr>
          <w:p>
            <w:r>
              <w:t>2</w:t>
            </w:r>
          </w:p>
        </w:tc>
        <w:tc>
          <w:tcPr>
            <w:tcW w:type="dxa" w:w="1440"/>
            <w:noWrap/>
          </w:tcPr>
          <w:p>
            <w:pPr>
              <w:jc w:val="left"/>
            </w:pPr>
            <w:r>
              <w:t>736 m³</w:t>
            </w:r>
          </w:p>
          <w:p>
            <w:pPr>
              <w:jc w:val="left"/>
            </w:pPr>
            <w:r>
              <w:t>(31 días, 100%)</w:t>
            </w:r>
          </w:p>
        </w:tc>
        <w:tc>
          <w:tcPr>
            <w:tcW w:type="dxa" w:w="1440"/>
            <w:noWrap/>
          </w:tcPr>
          <w:p>
            <w:pPr>
              <w:jc w:val="left"/>
            </w:pPr>
            <w:r>
              <w:t>2.523,6 m³</w:t>
            </w:r>
          </w:p>
          <w:p>
            <w:pPr>
              <w:jc w:val="left"/>
            </w:pPr>
            <w:r>
              <w:t>(84,9%)</w:t>
            </w:r>
          </w:p>
        </w:tc>
      </w:tr>
      <w:tr>
        <w:tc>
          <w:tcPr>
            <w:tcW w:type="dxa" w:w="1440"/>
            <w:noWrap/>
          </w:tcPr>
          <w:p>
            <w:r>
              <w:t>4</w:t>
            </w:r>
          </w:p>
        </w:tc>
        <w:tc>
          <w:tcPr>
            <w:tcW w:type="dxa" w:w="1440"/>
            <w:noWrap/>
          </w:tcPr>
          <w:p>
            <w:r>
              <w:t>Etapa N°1 al 4</w:t>
            </w:r>
          </w:p>
        </w:tc>
        <w:tc>
          <w:tcPr>
            <w:tcW w:type="dxa" w:w="1440"/>
            <w:noWrap/>
          </w:tcPr>
          <w:p>
            <w:r>
              <w:t>2.729</w:t>
            </w:r>
          </w:p>
        </w:tc>
        <w:tc>
          <w:tcPr>
            <w:tcW w:type="dxa" w:w="1440"/>
            <w:noWrap/>
          </w:tcPr>
          <w:p>
            <w:r>
              <w:t>0</w:t>
            </w:r>
          </w:p>
        </w:tc>
        <w:tc>
          <w:tcPr>
            <w:tcW w:type="dxa" w:w="1440"/>
            <w:noWrap/>
          </w:tcPr>
          <w:p>
            <w:pPr>
              <w:jc w:val="left"/>
            </w:pPr>
            <w:r>
              <w:t>518,5 m³</w:t>
            </w:r>
          </w:p>
          <w:p>
            <w:pPr>
              <w:jc w:val="left"/>
            </w:pPr>
            <w:r>
              <w:t>(31 días, 100%)</w:t>
            </w:r>
          </w:p>
        </w:tc>
        <w:tc>
          <w:tcPr>
            <w:tcW w:type="dxa" w:w="1440"/>
            <w:noWrap/>
          </w:tcPr>
          <w:p>
            <w:pPr>
              <w:jc w:val="left"/>
            </w:pPr>
            <w:r>
              <w:t>1.777,7 m³</w:t>
            </w:r>
          </w:p>
          <w:p>
            <w:pPr>
              <w:jc w:val="left"/>
            </w:pPr>
            <w:r>
              <w:t>(65,1%)</w:t>
            </w:r>
          </w:p>
        </w:tc>
      </w:tr>
      <w:tr>
        <w:tc>
          <w:tcPr>
            <w:tcW w:type="dxa" w:w="1440"/>
            <w:noWrap/>
          </w:tcPr>
          <w:p>
            <w:r>
              <w:t>5</w:t>
            </w:r>
          </w:p>
        </w:tc>
        <w:tc>
          <w:tcPr>
            <w:tcW w:type="dxa" w:w="1440"/>
            <w:noWrap/>
          </w:tcPr>
          <w:p>
            <w:r>
              <w:t>Etapa N°2</w:t>
            </w:r>
          </w:p>
        </w:tc>
        <w:tc>
          <w:tcPr>
            <w:tcW w:type="dxa" w:w="1440"/>
            <w:noWrap/>
          </w:tcPr>
          <w:p>
            <w:r>
              <w:t>849,1</w:t>
            </w:r>
          </w:p>
        </w:tc>
        <w:tc>
          <w:tcPr>
            <w:tcW w:type="dxa" w:w="1440"/>
            <w:noWrap/>
          </w:tcPr>
          <w:p>
            <w:r>
              <w:t>4</w:t>
            </w:r>
          </w:p>
        </w:tc>
        <w:tc>
          <w:tcPr>
            <w:tcW w:type="dxa" w:w="1440"/>
            <w:noWrap/>
          </w:tcPr>
          <w:p>
            <w:pPr>
              <w:jc w:val="left"/>
            </w:pPr>
            <w:r>
              <w:t>203,9 m³</w:t>
            </w:r>
          </w:p>
          <w:p>
            <w:pPr>
              <w:jc w:val="left"/>
            </w:pPr>
            <w:r>
              <w:t>(31 días, 100%)</w:t>
            </w:r>
          </w:p>
        </w:tc>
        <w:tc>
          <w:tcPr>
            <w:tcW w:type="dxa" w:w="1440"/>
            <w:noWrap/>
          </w:tcPr>
          <w:p>
            <w:pPr>
              <w:jc w:val="left"/>
            </w:pPr>
            <w:r>
              <w:t>699 m³</w:t>
            </w:r>
          </w:p>
          <w:p>
            <w:pPr>
              <w:jc w:val="left"/>
            </w:pPr>
            <w:r>
              <w:t>(82,3%)</w:t>
            </w:r>
          </w:p>
        </w:tc>
      </w:tr>
      <w:tr>
        <w:tc>
          <w:tcPr>
            <w:tcW w:type="dxa" w:w="1440"/>
            <w:noWrap/>
          </w:tcPr>
          <w:p>
            <w:r>
              <w:t>6</w:t>
            </w:r>
          </w:p>
        </w:tc>
        <w:tc>
          <w:tcPr>
            <w:tcW w:type="dxa" w:w="1440"/>
            <w:noWrap/>
          </w:tcPr>
          <w:p>
            <w:r>
              <w:t>Etapa N°1</w:t>
            </w:r>
          </w:p>
        </w:tc>
        <w:tc>
          <w:tcPr>
            <w:tcW w:type="dxa" w:w="1440"/>
            <w:noWrap/>
          </w:tcPr>
          <w:p>
            <w:r>
              <w:t>644,3</w:t>
            </w:r>
          </w:p>
        </w:tc>
        <w:tc>
          <w:tcPr>
            <w:tcW w:type="dxa" w:w="1440"/>
            <w:noWrap/>
          </w:tcPr>
          <w:p>
            <w:r>
              <w:t>8</w:t>
            </w:r>
          </w:p>
        </w:tc>
        <w:tc>
          <w:tcPr>
            <w:tcW w:type="dxa" w:w="1440"/>
            <w:noWrap/>
          </w:tcPr>
          <w:p>
            <w:pPr>
              <w:jc w:val="left"/>
            </w:pPr>
            <w:r>
              <w:t>57,7 m³</w:t>
            </w:r>
          </w:p>
          <w:p>
            <w:pPr>
              <w:jc w:val="left"/>
            </w:pPr>
            <w:r>
              <w:t>(31 días, 100%)</w:t>
            </w:r>
          </w:p>
        </w:tc>
        <w:tc>
          <w:tcPr>
            <w:tcW w:type="dxa" w:w="1440"/>
            <w:noWrap/>
          </w:tcPr>
          <w:p>
            <w:pPr>
              <w:jc w:val="left"/>
            </w:pPr>
            <w:r>
              <w:t>197,8 m³</w:t>
            </w:r>
          </w:p>
          <w:p>
            <w:pPr>
              <w:jc w:val="left"/>
            </w:pPr>
            <w:r>
              <w:t>(30,7%)</w:t>
            </w:r>
          </w:p>
        </w:tc>
      </w:tr>
      <w:tr>
        <w:tc>
          <w:tcPr>
            <w:tcW w:type="dxa" w:w="1440"/>
            <w:noWrap/>
          </w:tcPr>
          <w:p>
            <w:r>
              <w:t>7</w:t>
            </w:r>
          </w:p>
        </w:tc>
        <w:tc>
          <w:tcPr>
            <w:tcW w:type="dxa" w:w="1440"/>
            <w:noWrap/>
          </w:tcPr>
          <w:p>
            <w:r>
              <w:t>Etapa N°3</w:t>
            </w:r>
          </w:p>
        </w:tc>
        <w:tc>
          <w:tcPr>
            <w:tcW w:type="dxa" w:w="1440"/>
            <w:noWrap/>
          </w:tcPr>
          <w:p>
            <w:r>
              <w:t>348,8</w:t>
            </w:r>
          </w:p>
        </w:tc>
        <w:tc>
          <w:tcPr>
            <w:tcW w:type="dxa" w:w="1440"/>
            <w:noWrap/>
          </w:tcPr>
          <w:p>
            <w:r>
              <w:t>12</w:t>
            </w:r>
          </w:p>
        </w:tc>
        <w:tc>
          <w:tcPr>
            <w:tcW w:type="dxa" w:w="1440"/>
            <w:noWrap/>
          </w:tcPr>
          <w:p>
            <w:pPr>
              <w:jc w:val="left"/>
            </w:pPr>
            <w:r>
              <w:t>57,3 m³</w:t>
            </w:r>
          </w:p>
          <w:p>
            <w:pPr>
              <w:jc w:val="left"/>
            </w:pPr>
            <w:r>
              <w:t>(31 días, 100%)</w:t>
            </w:r>
          </w:p>
        </w:tc>
        <w:tc>
          <w:tcPr>
            <w:tcW w:type="dxa" w:w="1440"/>
            <w:noWrap/>
          </w:tcPr>
          <w:p>
            <w:pPr>
              <w:jc w:val="left"/>
            </w:pPr>
            <w:r>
              <w:t>196,6 m³</w:t>
            </w:r>
          </w:p>
          <w:p>
            <w:pPr>
              <w:jc w:val="left"/>
            </w:pPr>
            <w:r>
              <w:t>(56,4%)</w:t>
            </w:r>
          </w:p>
        </w:tc>
      </w:tr>
      <w:tr>
        <w:tc>
          <w:tcPr>
            <w:tcW w:type="dxa" w:w="1440"/>
            <w:noWrap/>
          </w:tcPr>
          <w:p>
            <w:r>
              <w:t>8</w:t>
            </w:r>
          </w:p>
        </w:tc>
        <w:tc>
          <w:tcPr>
            <w:tcW w:type="dxa" w:w="1440"/>
            <w:noWrap/>
          </w:tcPr>
          <w:p>
            <w:r>
              <w:t>Riego Llenado de Estanque ESVAL</w:t>
            </w:r>
          </w:p>
        </w:tc>
        <w:tc>
          <w:tcPr>
            <w:tcW w:type="dxa" w:w="1440"/>
            <w:noWrap/>
          </w:tcPr>
          <w:p>
            <w:r>
              <w:t>189,1</w:t>
            </w:r>
          </w:p>
        </w:tc>
        <w:tc>
          <w:tcPr>
            <w:tcW w:type="dxa" w:w="1440"/>
            <w:noWrap/>
          </w:tcPr>
          <w:p>
            <w:r>
              <w:t>0</w:t>
            </w:r>
          </w:p>
        </w:tc>
        <w:tc>
          <w:tcPr>
            <w:tcW w:type="dxa" w:w="1440"/>
            <w:noWrap/>
          </w:tcPr>
          <w:p>
            <w:pPr>
              <w:jc w:val="left"/>
            </w:pPr>
            <w:r>
              <w:t>51,6 m³</w:t>
            </w:r>
          </w:p>
          <w:p>
            <w:pPr>
              <w:jc w:val="left"/>
            </w:pPr>
            <w:r>
              <w:t>(31 días, 100%)</w:t>
            </w:r>
          </w:p>
        </w:tc>
        <w:tc>
          <w:tcPr>
            <w:tcW w:type="dxa" w:w="1440"/>
            <w:noWrap/>
          </w:tcPr>
          <w:p>
            <w:pPr>
              <w:jc w:val="left"/>
            </w:pPr>
            <w:r>
              <w:t>177 m³</w:t>
            </w:r>
          </w:p>
          <w:p>
            <w:pPr>
              <w:jc w:val="left"/>
            </w:pPr>
            <w:r>
              <w:t>(93,6%)</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14.239,6</w:t>
            </w:r>
          </w:p>
        </w:tc>
        <w:tc>
          <w:tcPr>
            <w:tcW w:type="dxa" w:w="1440"/>
            <w:noWrap/>
            <w:shd w:val="clear" w:fill="FFE6E6"/>
          </w:tcPr>
          <w:p>
            <w:pPr>
              <w:jc w:val="left"/>
            </w:pPr>
            <w:r>
              <w:rPr>
                <w:b/>
                <w:color w:val="FF0000"/>
              </w:rPr>
              <w:t>63</w:t>
            </w:r>
          </w:p>
        </w:tc>
        <w:tc>
          <w:tcPr>
            <w:tcW w:type="dxa" w:w="1440"/>
            <w:noWrap/>
            <w:shd w:val="clear" w:fill="FFE6E6"/>
          </w:tcPr>
          <w:p>
            <w:pPr>
              <w:jc w:val="left"/>
            </w:pPr>
            <w:r>
              <w:rPr>
                <w:b/>
                <w:color w:val="FF0000"/>
              </w:rPr>
              <w:t>4.384,8 m³</w:t>
            </w:r>
          </w:p>
        </w:tc>
        <w:tc>
          <w:tcPr>
            <w:tcW w:type="dxa" w:w="1440"/>
            <w:noWrap/>
            <w:shd w:val="clear" w:fill="FFE6E6"/>
          </w:tcPr>
          <w:p>
            <w:pPr>
              <w:jc w:val="left"/>
            </w:pPr>
            <w:r>
              <w:rPr>
                <w:b/>
                <w:color w:val="FF0000"/>
              </w:rPr>
              <w:t>15.033,7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ESVAL (25-05-26):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8 alerta(s) durante 5 día(s) del periodo analizado. La periodicidad de las alertas es puntual (menos del 20% de los días). Se identificó una proyección de filtración de 2.749,8 m³ ($3.428.978), lo que indica un patrón de fuga constante durante el periodo.</w:t>
      </w:r>
    </w:p>
    <w:p/>
    <w:p>
      <w:pPr>
        <w:keepNext/>
        <w:widowControl/>
        <w:spacing w:after="60"/>
      </w:pPr>
      <w:r>
        <w:rPr>
          <w:b/>
          <w:color w:val="003366"/>
        </w:rPr>
        <w:t>DÍA CON MAYOR CONSUMO NOCTURNO - ESTANQUE INFERIOR (15-05-26):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Estanque Inferior registró 2 alerta(s) durante 2 día(s) del periodo analizado. La periodicidad de las alertas es puntual (menos del 20% de los días). Se identificó una proyección de filtración de 2.523,6 m³ ($3.146.890), lo que indica un patrón de fuga constante durante el periodo.</w:t>
      </w:r>
    </w:p>
    <w:p/>
    <w:p>
      <w:pPr>
        <w:keepNext/>
        <w:widowControl/>
        <w:spacing w:after="60"/>
      </w:pPr>
      <w:r>
        <w:rPr>
          <w:b/>
          <w:color w:val="003366"/>
        </w:rPr>
        <w:t>DÍA CON MAYOR CONSUMO NOCTURNO - ETAPA N°5 (27-05-26):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7_03.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Etapa N°5 registró 29 alerta(s) durante 20 día(s) del periodo analizado. La periodicidad de las alertas es regular (más del 50% de los días). Se identificó una proyección de filtración de 6.712,3 m³ ($8.370.184), lo que indica un patrón de fuga constante durante el periodo.</w:t>
      </w:r>
    </w:p>
    <w:p/>
    <w:p>
      <w:pPr>
        <w:keepNext/>
        <w:widowControl/>
        <w:spacing w:after="60"/>
      </w:pPr>
      <w:r>
        <w:rPr>
          <w:b/>
          <w:color w:val="003366"/>
        </w:rPr>
        <w:t>DÍA CON MAYOR CONSUMO NOCTURNO - ETAPA N°1 (27-05-26):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7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Etapa N°1 registró 8 alerta(s) durante 7 día(s) del periodo analizado. La periodicidad de las alertas es intermitente (más del 20% de los días). Se identificó una proyección de filtración de 197,8 m³ ($246.711), lo que indica un patrón de fuga constante durante el periodo.</w:t>
      </w:r>
    </w:p>
    <w:p/>
    <w:p>
      <w:pPr>
        <w:keepNext/>
        <w:widowControl/>
        <w:spacing w:after="60"/>
      </w:pPr>
      <w:r>
        <w:rPr>
          <w:b/>
          <w:color w:val="003366"/>
        </w:rPr>
        <w:t>DÍA CON MAYOR CONSUMO NOCTURNO - ETAPA N°2 (04-05-26):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7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Etapa N°2 registró 4 alerta(s) durante 4 día(s) del periodo analizado. La periodicidad de las alertas es puntual (menos del 20% de los días). Se identificó una proyección de filtración de 699 m³ ($871.667), lo que indica un patrón de fuga constante durante el periodo.</w:t>
      </w:r>
    </w:p>
    <w:p/>
    <w:p>
      <w:pPr>
        <w:keepNext/>
        <w:widowControl/>
        <w:spacing w:after="60"/>
      </w:pPr>
      <w:r>
        <w:rPr>
          <w:b/>
          <w:color w:val="003366"/>
        </w:rPr>
        <w:t>DÍA CON MAYOR CONSUMO NOCTURNO - ETAPA N°3 (11-05-26):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7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Etapa N°3 registró 12 alerta(s) durante 11 día(s) del periodo analizado. La periodicidad de las alertas es intermitente (más del 20% de los días). Se identificó una proyección de filtración de 196,6 m³ ($245.140),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NOTA: Para este análisis, se ha excluido el punto Estanque Inferior del cálculo de consumo efectivo y proyección de consumo nocturno, ya que este punto no se considera en el análisis de balance hídrico.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9" name="Picture 9"/>
            <wp:cNvGraphicFramePr>
              <a:graphicFrameLocks noChangeAspect="1"/>
            </wp:cNvGraphicFramePr>
            <a:graphic>
              <a:graphicData uri="http://schemas.openxmlformats.org/drawingml/2006/picture">
                <pic:pic>
                  <pic:nvPicPr>
                    <pic:cNvPr id="0" name="chart_comparacion_mensual_agregada.png"/>
                    <pic:cNvPicPr/>
                  </pic:nvPicPr>
                  <pic:blipFill>
                    <a:blip r:embed="rId18"/>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Etapa N°5, Matriz ESVAL, Estanque Inferior, Etapa N°1 al 4, Etapa N°2, Etapa N°1, Etapa N°3 y Riego Llenado de Estanque ESVAL.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