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Fundo Zapallar</w:t>
      </w:r>
    </w:p>
    <w:p>
      <w:pPr>
        <w:jc w:val="center"/>
      </w:pPr>
      <w:r>
        <w:t>MONITOREO WES</w:t>
        <w:br/>
        <w:t>Análisis consolidado de 8 puntos de monitoreo</w:t>
        <w:br/>
        <w:t>Rango: 01-07-26 - 28-07-26</w:t>
        <w:br/>
        <w:t>Generado: 29-07-26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rPr>
          <w:color w:val="000000"/>
        </w:rPr>
        <w:t>Puntos de monitoreo analizados: 8.</w:t>
        <w:br/>
      </w:r>
      <w:r>
        <w:rPr>
          <w:color w:val="000000"/>
        </w:rPr>
        <w:t>Consumo del fundo (Matriz ESVAL / entrada): 2.973,1 m³.</w:t>
        <w:br/>
      </w:r>
      <w:r>
        <w:rPr>
          <w:color w:val="000000"/>
        </w:rPr>
        <w:t>Nota: no se suma el consumo de estanques y etapas al total, porque son puntos aguas abajo de ESVAL (mismo caudal medido en cadena).</w:t>
        <w:br/>
      </w:r>
      <w:r>
        <w:rPr>
          <w:color w:val="000000"/>
        </w:rPr>
        <w:t>Total de alertas registradas: 37.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por punto en el periodo. Matriz ESVAL es la entrada al fundo (referencia de consumo real); estanques y etapas son mediciones aguas abajo y no deben sumarse al total.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En Fundo Zapallar el consumo real del periodo corresponde a la Matriz ESVAL (entrada de agua al fundo): 2.973,1 m³. Los demás puntos (estanques y etapas) miden caudales aguas abajo de esa matriz; por eso no se suman entre sí ni con ESVAL — el máximo del gráfico es Matriz ESVAL, no la suma de barras (~8.000 m³), que no representa un consumo adicional.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ESTANQUE INFERIOR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N°5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N°1 AL 4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N°1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N°2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ETAPA N°3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RIEGO LLENADO DE ESTANQUE ESVAL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diario_000027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allar_consumo_nocturno_perio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Matriz ESVAL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1.000,1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$1.247.175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Estanque Inferior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732,9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$913.939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N°1 al 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651,7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$812.682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563,5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$702.697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158,8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$197.986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Etapa N°2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142,8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$178.097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Etapa N°5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31,4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$39.136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Riego Llenado de Estanque ESVAL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3,1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$3.803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Fundo Zapallar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3.284,3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$4.095.515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Fundo Zapallar registró un total de 3.284,3 m³ en horario nocturno (Matriz ESVAL (1.000,1 m³), Estanque Inferior (732,9 m³), Etapa N°1 al 4 (651,7 m³) y 899,5 m³ en los demás puntos), equivalente a $4.095.515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