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Fundo Zapallar Estanque Inferior</w:t>
      </w:r>
    </w:p>
    <w:p>
      <w:pPr>
        <w:jc w:val="center"/>
      </w:pPr>
      <w:r>
        <w:t>MONITOREO WES</w:t>
        <w:br/>
        <w:t>Estanque Inferior</w:t>
        <w:br/>
        <w:t>Rango: 01-02-26 - 28-02-26</w:t>
        <w:br/>
        <w:t>Generado: 06-03-26 14:08</w:t>
      </w:r>
    </w:p>
    <w:p>
      <w:pPr>
        <w:pStyle w:val="Heading1"/>
        <w:keepNext/>
        <w:widowControl/>
        <w:spacing w:after="60"/>
      </w:pPr>
      <w:r>
        <w:rPr>
          <w:b/>
          <w:color w:val="003366"/>
        </w:rPr>
        <w:t>RESUMEN EJECUTIVO</w:t>
      </w:r>
    </w:p>
    <w:p>
      <w:r>
        <w:t>Consumo total: 6.651,5 m³.</w:t>
        <w:br/>
      </w:r>
      <w:r>
        <w:t>Promedio diario: 237,6 m³.</w:t>
        <w:br/>
      </w:r>
      <w:r>
        <w:t>Número de días del periodo del reporte: 28.</w:t>
        <w:br/>
      </w:r>
      <w:r>
        <w:t>Día pico: 27-02-26 (406,6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7-02.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27-02-26 con 406,6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7-02.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7-02.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7-02.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20-02-26: Aumento del 73% (de 209,2 m³ a 362,1 m³). • 25-02-26: Aumento del 29,9% (de 253,9 m³ a 329,7 m³). El día pico (27-02-26) registró un consumo de 406,6 m³, lo que representa un 71,2% por encima del promedio diario (237,6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6.651,5</w:t>
            </w:r>
          </w:p>
        </w:tc>
      </w:tr>
      <w:tr>
        <w:tc>
          <w:tcPr>
            <w:tcW w:type="dxa" w:w="4320"/>
            <w:noWrap/>
          </w:tcPr>
          <w:p>
            <w:r>
              <w:t>Promedio diario (m³)</w:t>
            </w:r>
          </w:p>
        </w:tc>
        <w:tc>
          <w:tcPr>
            <w:tcW w:type="dxa" w:w="4320"/>
            <w:noWrap/>
          </w:tcPr>
          <w:p>
            <w:r>
              <w:t>237,6</w:t>
            </w:r>
          </w:p>
        </w:tc>
      </w:tr>
      <w:tr>
        <w:tc>
          <w:tcPr>
            <w:tcW w:type="dxa" w:w="4320"/>
            <w:noWrap/>
          </w:tcPr>
          <w:p>
            <w:r>
              <w:t>Promedio mensual (m³)</w:t>
            </w:r>
          </w:p>
        </w:tc>
        <w:tc>
          <w:tcPr>
            <w:tcW w:type="dxa" w:w="4320"/>
            <w:noWrap/>
          </w:tcPr>
          <w:p>
            <w:r>
              <w:t>7.126,6</w:t>
            </w:r>
          </w:p>
        </w:tc>
      </w:tr>
      <w:tr>
        <w:tc>
          <w:tcPr>
            <w:tcW w:type="dxa" w:w="4320"/>
            <w:noWrap/>
          </w:tcPr>
          <w:p>
            <w:r>
              <w:t>Máximo diario</w:t>
            </w:r>
          </w:p>
        </w:tc>
        <w:tc>
          <w:tcPr>
            <w:tcW w:type="dxa" w:w="4320"/>
            <w:noWrap/>
          </w:tcPr>
          <w:p>
            <w:r>
              <w:t>406,6 m³ (27-02-26)</w:t>
            </w:r>
          </w:p>
        </w:tc>
      </w:tr>
      <w:tr>
        <w:tc>
          <w:tcPr>
            <w:tcW w:type="dxa" w:w="4320"/>
            <w:noWrap/>
          </w:tcPr>
          <w:p>
            <w:r>
              <w:t>Mínimo diario</w:t>
            </w:r>
          </w:p>
        </w:tc>
        <w:tc>
          <w:tcPr>
            <w:tcW w:type="dxa" w:w="4320"/>
            <w:noWrap/>
          </w:tcPr>
          <w:p>
            <w:r>
              <w:t>152,6 m³ (15-02-26)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3.051,9</w:t>
            </w:r>
          </w:p>
        </w:tc>
      </w:tr>
      <w:tr>
        <w:tc>
          <w:tcPr>
            <w:tcW w:type="dxa" w:w="4320"/>
            <w:noWrap/>
          </w:tcPr>
          <w:p>
            <w:r>
              <w:t>Consumo diurno efectivo (m³)</w:t>
            </w:r>
          </w:p>
        </w:tc>
        <w:tc>
          <w:tcPr>
            <w:tcW w:type="dxa" w:w="4320"/>
            <w:noWrap/>
          </w:tcPr>
          <w:p>
            <w:r>
              <w:t>3.599,7</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512541"/>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512541"/>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(28-02-26):</w:t>
      </w:r>
    </w:p>
    <w:p>
      <w:pPr>
        <w:keepNext/>
        <w:widowControl/>
        <w:spacing w:after="60"/>
        <w:jc w:val="center"/>
      </w:pPr>
      <w:r>
        <w:drawing>
          <wp:inline xmlns:a="http://schemas.openxmlformats.org/drawingml/2006/main" xmlns:pic="http://schemas.openxmlformats.org/drawingml/2006/picture">
            <wp:extent cx="5486400" cy="2719023"/>
            <wp:docPr id="6" name="Picture 6"/>
            <wp:cNvGraphicFramePr>
              <a:graphicFrameLocks noChangeAspect="1"/>
            </wp:cNvGraphicFramePr>
            <a:graphic>
              <a:graphicData uri="http://schemas.openxmlformats.org/drawingml/2006/picture">
                <pic:pic>
                  <pic:nvPicPr>
                    <pic:cNvPr id="0" name="chart_max_nocturnal_day_000027-02.png"/>
                    <pic:cNvPicPr/>
                  </pic:nvPicPr>
                  <pic:blipFill>
                    <a:blip r:embed="rId15"/>
                    <a:stretch>
                      <a:fillRect/>
                    </a:stretch>
                  </pic:blipFill>
                  <pic:spPr>
                    <a:xfrm>
                      <a:off x="0" y="0"/>
                      <a:ext cx="5486400" cy="271902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732"/>
        <w:gridCol w:w="1628"/>
      </w:tblGrid>
      <w:tr>
        <w:tc>
          <w:tcPr>
            <w:tcW w:type="dxa" w:w="4320"/>
            <w:shd w:val="clear" w:fill="D9E1F2"/>
            <w:noWrap/>
          </w:tcPr>
          <w:p>
            <w:r>
              <w:t>Promedio hora consumo nocturno (m³/h)</w:t>
            </w:r>
          </w:p>
        </w:tc>
        <w:tc>
          <w:tcPr>
            <w:tcW w:type="dxa" w:w="4320"/>
            <w:shd w:val="clear" w:fill="D9E1F2"/>
            <w:noWrap/>
          </w:tcPr>
          <w:p>
            <w:r>
              <w:t>18,17</w:t>
            </w:r>
          </w:p>
        </w:tc>
      </w:tr>
      <w:tr>
        <w:tc>
          <w:tcPr>
            <w:tcW w:type="dxa" w:w="4320"/>
            <w:noWrap/>
          </w:tcPr>
          <w:p>
            <w:r>
              <w:t>Proyección día filtración (m³/día)</w:t>
            </w:r>
          </w:p>
        </w:tc>
        <w:tc>
          <w:tcPr>
            <w:tcW w:type="dxa" w:w="4320"/>
            <w:noWrap/>
          </w:tcPr>
          <w:p>
            <w:r>
              <w:t>436</w:t>
            </w:r>
          </w:p>
        </w:tc>
      </w:tr>
      <w:tr>
        <w:tc>
          <w:tcPr>
            <w:tcW w:type="dxa" w:w="4320"/>
            <w:noWrap/>
          </w:tcPr>
          <w:p>
            <w:r>
              <w:t>Proyección filtración del periodo (m³)</w:t>
            </w:r>
          </w:p>
        </w:tc>
        <w:tc>
          <w:tcPr>
            <w:tcW w:type="dxa" w:w="4320"/>
            <w:noWrap/>
          </w:tcPr>
          <w:p>
            <w:r>
              <w:t>12.207,4</w:t>
            </w:r>
          </w:p>
        </w:tc>
      </w:tr>
      <w:tr>
        <w:tc>
          <w:tcPr>
            <w:tcW w:type="dxa" w:w="4320"/>
            <w:noWrap/>
          </w:tcPr>
          <w:p>
            <w:r>
              <w:t>Consumo efectivo del periodo (m³)</w:t>
            </w:r>
          </w:p>
        </w:tc>
        <w:tc>
          <w:tcPr>
            <w:tcW w:type="dxa" w:w="4320"/>
            <w:noWrap/>
          </w:tcPr>
          <w:p>
            <w:r>
              <w:t>-5.555,9</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