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Fundo Zapallar Estanque Inferior</w:t>
      </w:r>
    </w:p>
    <w:p>
      <w:pPr>
        <w:jc w:val="center"/>
      </w:pPr>
      <w:r>
        <w:t>MONITOREO WES</w:t>
        <w:br/>
        <w:t>Estanque Inferior</w:t>
        <w:br/>
        <w:t>Rango: 01-04-26 - 30-04-26</w:t>
        <w:br/>
        <w:t>Generado: 05-05-26 18:34</w:t>
      </w:r>
    </w:p>
    <w:p>
      <w:pPr>
        <w:pStyle w:val="Heading1"/>
        <w:keepNext/>
        <w:widowControl/>
        <w:spacing w:after="60"/>
      </w:pPr>
      <w:r>
        <w:rPr>
          <w:b/>
          <w:color w:val="003366"/>
        </w:rPr>
        <w:t>RESUMEN EJECUTIVO</w:t>
      </w:r>
    </w:p>
    <w:p>
      <w:r>
        <w:t>Consumo total: 8.496,9 m³.</w:t>
        <w:br/>
      </w:r>
      <w:r>
        <w:t>Promedio diario: 283,2 m³.</w:t>
        <w:br/>
      </w:r>
      <w:r>
        <w:t>Número de días del periodo del reporte: 30.</w:t>
        <w:br/>
      </w:r>
      <w:r>
        <w:t>Día pico: 09-04-26 (565,1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09-04-26 con 565,1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23-04-26: Aumento del 115,6% (de 134,2 m³ a 289,3 m³). • 28-04-26: Aumento del 63,8% (de 74,4 m³ a 121,8 m³). El día pico (09-04-26) registró un consumo de 565,1 m³, lo que representa un 99,5% por encima del promedio diario (283,2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8.496,9</w:t>
            </w:r>
          </w:p>
        </w:tc>
      </w:tr>
      <w:tr>
        <w:tc>
          <w:tcPr>
            <w:tcW w:type="dxa" w:w="4320"/>
            <w:noWrap/>
          </w:tcPr>
          <w:p>
            <w:r>
              <w:t>Promedio diario (m³)</w:t>
            </w:r>
          </w:p>
        </w:tc>
        <w:tc>
          <w:tcPr>
            <w:tcW w:type="dxa" w:w="4320"/>
            <w:noWrap/>
          </w:tcPr>
          <w:p>
            <w:r>
              <w:t>283,2</w:t>
            </w:r>
          </w:p>
        </w:tc>
      </w:tr>
      <w:tr>
        <w:tc>
          <w:tcPr>
            <w:tcW w:type="dxa" w:w="4320"/>
            <w:noWrap/>
          </w:tcPr>
          <w:p>
            <w:r>
              <w:t>Promedio mensual (m³)</w:t>
            </w:r>
          </w:p>
        </w:tc>
        <w:tc>
          <w:tcPr>
            <w:tcW w:type="dxa" w:w="4320"/>
            <w:noWrap/>
          </w:tcPr>
          <w:p>
            <w:r>
              <w:t>8.496,9</w:t>
            </w:r>
          </w:p>
        </w:tc>
      </w:tr>
      <w:tr>
        <w:tc>
          <w:tcPr>
            <w:tcW w:type="dxa" w:w="4320"/>
            <w:noWrap/>
          </w:tcPr>
          <w:p>
            <w:r>
              <w:t>Máximo diario</w:t>
            </w:r>
          </w:p>
        </w:tc>
        <w:tc>
          <w:tcPr>
            <w:tcW w:type="dxa" w:w="4320"/>
            <w:noWrap/>
          </w:tcPr>
          <w:p>
            <w:r>
              <w:t>565,1 m³ (09-04-26)</w:t>
            </w:r>
          </w:p>
        </w:tc>
      </w:tr>
      <w:tr>
        <w:tc>
          <w:tcPr>
            <w:tcW w:type="dxa" w:w="4320"/>
            <w:noWrap/>
          </w:tcPr>
          <w:p>
            <w:r>
              <w:t>Mínimo diario</w:t>
            </w:r>
          </w:p>
        </w:tc>
        <w:tc>
          <w:tcPr>
            <w:tcW w:type="dxa" w:w="4320"/>
            <w:noWrap/>
          </w:tcPr>
          <w:p>
            <w:r>
              <w:t>73 m³ (26-04-26)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4"/>
        <w:gridCol w:w="136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2.371</w:t>
            </w:r>
          </w:p>
        </w:tc>
      </w:tr>
      <w:tr>
        <w:tc>
          <w:tcPr>
            <w:tcW w:type="dxa" w:w="4320"/>
            <w:noWrap/>
          </w:tcPr>
          <w:p>
            <w:r>
              <w:t>Consumo diurno efectivo (m³)</w:t>
            </w:r>
          </w:p>
        </w:tc>
        <w:tc>
          <w:tcPr>
            <w:tcW w:type="dxa" w:w="4320"/>
            <w:noWrap/>
          </w:tcPr>
          <w:p>
            <w:r>
              <w:t>6.101,4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09260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09260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(03-04-26):</w:t>
      </w:r>
    </w:p>
    <w:p>
      <w:pPr>
        <w:keepNext/>
        <w:widowControl/>
        <w:spacing w:after="60"/>
        <w:jc w:val="center"/>
      </w:pPr>
      <w:r>
        <w:drawing>
          <wp:inline xmlns:a="http://schemas.openxmlformats.org/drawingml/2006/main" xmlns:pic="http://schemas.openxmlformats.org/drawingml/2006/picture">
            <wp:extent cx="5486400" cy="2719023"/>
            <wp:docPr id="6" name="Picture 6"/>
            <wp:cNvGraphicFramePr>
              <a:graphicFrameLocks noChangeAspect="1"/>
            </wp:cNvGraphicFramePr>
            <a:graphic>
              <a:graphicData uri="http://schemas.openxmlformats.org/drawingml/2006/picture">
                <pic:pic>
                  <pic:nvPicPr>
                    <pic:cNvPr id="0" name="chart_max_nocturnal_day_000027-02.png"/>
                    <pic:cNvPicPr/>
                  </pic:nvPicPr>
                  <pic:blipFill>
                    <a:blip r:embed="rId15"/>
                    <a:stretch>
                      <a:fillRect/>
                    </a:stretch>
                  </pic:blipFill>
                  <pic:spPr>
                    <a:xfrm>
                      <a:off x="0" y="0"/>
                      <a:ext cx="5486400" cy="271902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11,29</w:t>
            </w:r>
          </w:p>
        </w:tc>
      </w:tr>
      <w:tr>
        <w:tc>
          <w:tcPr>
            <w:tcW w:type="dxa" w:w="4320"/>
            <w:noWrap/>
          </w:tcPr>
          <w:p>
            <w:r>
              <w:t>Proyección día filtración (m³/día)</w:t>
            </w:r>
          </w:p>
        </w:tc>
        <w:tc>
          <w:tcPr>
            <w:tcW w:type="dxa" w:w="4320"/>
            <w:noWrap/>
          </w:tcPr>
          <w:p>
            <w:r>
              <w:t>271</w:t>
            </w:r>
          </w:p>
        </w:tc>
      </w:tr>
      <w:tr>
        <w:tc>
          <w:tcPr>
            <w:tcW w:type="dxa" w:w="4320"/>
            <w:noWrap/>
          </w:tcPr>
          <w:p>
            <w:r>
              <w:t>Proyección filtración del periodo (m³)</w:t>
            </w:r>
          </w:p>
        </w:tc>
        <w:tc>
          <w:tcPr>
            <w:tcW w:type="dxa" w:w="4320"/>
            <w:noWrap/>
          </w:tcPr>
          <w:p>
            <w:r>
              <w:t>8.129,1</w:t>
            </w:r>
          </w:p>
        </w:tc>
      </w:tr>
      <w:tr>
        <w:tc>
          <w:tcPr>
            <w:tcW w:type="dxa" w:w="4320"/>
            <w:noWrap/>
          </w:tcPr>
          <w:p>
            <w:r>
              <w:t>Consumo efectivo del periodo (m³)</w:t>
            </w:r>
          </w:p>
        </w:tc>
        <w:tc>
          <w:tcPr>
            <w:tcW w:type="dxa" w:w="4320"/>
            <w:noWrap/>
          </w:tcPr>
          <w:p>
            <w:r>
              <w:t>367,8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