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N°1</w:t>
      </w:r>
    </w:p>
    <w:p>
      <w:pPr>
        <w:jc w:val="center"/>
      </w:pPr>
      <w:r>
        <w:t>MONITOREO WES</w:t>
        <w:br/>
        <w:t>Etapa N°1</w:t>
        <w:br/>
        <w:t>Rango: 01-02-26 - 28-02-26</w:t>
        <w:br/>
        <w:t>Generado: 06-03-26 14:13</w:t>
      </w:r>
    </w:p>
    <w:p>
      <w:pPr>
        <w:pStyle w:val="Heading1"/>
        <w:keepNext/>
        <w:widowControl/>
        <w:spacing w:after="60"/>
      </w:pPr>
      <w:r>
        <w:rPr>
          <w:b/>
          <w:color w:val="003366"/>
        </w:rPr>
        <w:t>RESUMEN EJECUTIVO</w:t>
      </w:r>
    </w:p>
    <w:p>
      <w:r>
        <w:t>Consumo total: 1.357,1 m³.</w:t>
        <w:br/>
      </w:r>
      <w:r>
        <w:t>Promedio diario: 48,5 m³.</w:t>
        <w:br/>
      </w:r>
      <w:r>
        <w:t>Número de días del periodo del reporte: 28.</w:t>
        <w:br/>
      </w:r>
      <w:r>
        <w:t>Día pico: 02-02-26 (92 m³).</w:t>
        <w:br/>
      </w:r>
      <w:r>
        <w:t>Número de alertas de consumo nocturno: 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6.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02-02-26 con 92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6.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6.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4355"/>
            <wp:docPr id="4" name="Picture 4"/>
            <wp:cNvGraphicFramePr>
              <a:graphicFrameLocks noChangeAspect="1"/>
            </wp:cNvGraphicFramePr>
            <a:graphic>
              <a:graphicData uri="http://schemas.openxmlformats.org/drawingml/2006/picture">
                <pic:pic>
                  <pic:nvPicPr>
                    <pic:cNvPr id="0" name="chart_hourly_min_000027-06.png"/>
                    <pic:cNvPicPr/>
                  </pic:nvPicPr>
                  <pic:blipFill>
                    <a:blip r:embed="rId13"/>
                    <a:stretch>
                      <a:fillRect/>
                    </a:stretch>
                  </pic:blipFill>
                  <pic:spPr>
                    <a:xfrm>
                      <a:off x="0" y="0"/>
                      <a:ext cx="5486400" cy="2704355"/>
                    </a:xfrm>
                    <a:prstGeom prst="rect"/>
                  </pic:spPr>
                </pic:pic>
              </a:graphicData>
            </a:graphic>
          </wp:inline>
        </w:drawing>
      </w:r>
    </w:p>
    <w:p>
      <w:pPr>
        <w:spacing w:after="60"/>
      </w:pPr>
    </w:p>
    <w:p>
      <w:pPr>
        <w:jc w:val="both"/>
      </w:pPr>
      <w:r>
        <w:rPr>
          <w:color w:val="000000"/>
        </w:rPr>
        <w:t>Se detectaron alzas significativas de consumo en los siguientes días: • 13-02-26: Aumento del 44% (de 43 m³ a 62 m³). • 18-02-26: Aumento del 39% (de 37,4 m³ a 51,9 m³). El día pico (02-02-26) registró un consumo de 92 m³, lo que representa un 89,9% por encima del promedio diario (48,5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1.357,1</w:t>
            </w:r>
          </w:p>
        </w:tc>
      </w:tr>
      <w:tr>
        <w:tc>
          <w:tcPr>
            <w:tcW w:type="dxa" w:w="4320"/>
            <w:noWrap/>
          </w:tcPr>
          <w:p>
            <w:r>
              <w:t>Promedio diario (m³)</w:t>
            </w:r>
          </w:p>
        </w:tc>
        <w:tc>
          <w:tcPr>
            <w:tcW w:type="dxa" w:w="4320"/>
            <w:noWrap/>
          </w:tcPr>
          <w:p>
            <w:r>
              <w:t>48,5</w:t>
            </w:r>
          </w:p>
        </w:tc>
      </w:tr>
      <w:tr>
        <w:tc>
          <w:tcPr>
            <w:tcW w:type="dxa" w:w="4320"/>
            <w:noWrap/>
          </w:tcPr>
          <w:p>
            <w:r>
              <w:t>Promedio mensual (m³)</w:t>
            </w:r>
          </w:p>
        </w:tc>
        <w:tc>
          <w:tcPr>
            <w:tcW w:type="dxa" w:w="4320"/>
            <w:noWrap/>
          </w:tcPr>
          <w:p>
            <w:r>
              <w:t>1.454</w:t>
            </w:r>
          </w:p>
        </w:tc>
      </w:tr>
      <w:tr>
        <w:tc>
          <w:tcPr>
            <w:tcW w:type="dxa" w:w="4320"/>
            <w:noWrap/>
          </w:tcPr>
          <w:p>
            <w:r>
              <w:t>Máximo diario</w:t>
            </w:r>
          </w:p>
        </w:tc>
        <w:tc>
          <w:tcPr>
            <w:tcW w:type="dxa" w:w="4320"/>
            <w:noWrap/>
          </w:tcPr>
          <w:p>
            <w:r>
              <w:t>92 m³ (02-02-26)</w:t>
            </w:r>
          </w:p>
        </w:tc>
      </w:tr>
      <w:tr>
        <w:tc>
          <w:tcPr>
            <w:tcW w:type="dxa" w:w="4320"/>
            <w:noWrap/>
          </w:tcPr>
          <w:p>
            <w:r>
              <w:t>Mínimo diario</w:t>
            </w:r>
          </w:p>
        </w:tc>
        <w:tc>
          <w:tcPr>
            <w:tcW w:type="dxa" w:w="4320"/>
            <w:noWrap/>
          </w:tcPr>
          <w:p>
            <w:r>
              <w:t>34,3 m³ (24-02-26)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629,2</w:t>
            </w:r>
          </w:p>
        </w:tc>
      </w:tr>
      <w:tr>
        <w:tc>
          <w:tcPr>
            <w:tcW w:type="dxa" w:w="4320"/>
            <w:noWrap/>
          </w:tcPr>
          <w:p>
            <w:r>
              <w:t>Consumo diurno efectivo (m³)</w:t>
            </w:r>
          </w:p>
        </w:tc>
        <w:tc>
          <w:tcPr>
            <w:tcW w:type="dxa" w:w="4320"/>
            <w:noWrap/>
          </w:tcPr>
          <w:p>
            <w:r>
              <w:t>727,8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0971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0971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Etapa N°1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7-06.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7-06.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3,75</w:t>
            </w:r>
          </w:p>
        </w:tc>
      </w:tr>
      <w:tr>
        <w:tc>
          <w:tcPr>
            <w:tcW w:type="dxa" w:w="4320"/>
            <w:noWrap/>
          </w:tcPr>
          <w:p>
            <w:r>
              <w:t>Proyección día filtración (m³/día)</w:t>
            </w:r>
          </w:p>
        </w:tc>
        <w:tc>
          <w:tcPr>
            <w:tcW w:type="dxa" w:w="4320"/>
            <w:noWrap/>
          </w:tcPr>
          <w:p>
            <w:r>
              <w:t>89,9</w:t>
            </w:r>
          </w:p>
        </w:tc>
      </w:tr>
      <w:tr>
        <w:tc>
          <w:tcPr>
            <w:tcW w:type="dxa" w:w="4320"/>
            <w:noWrap/>
          </w:tcPr>
          <w:p>
            <w:r>
              <w:t>Proyección filtración del periodo (m³)</w:t>
            </w:r>
          </w:p>
        </w:tc>
        <w:tc>
          <w:tcPr>
            <w:tcW w:type="dxa" w:w="4320"/>
            <w:noWrap/>
          </w:tcPr>
          <w:p>
            <w:r>
              <w:t>2.517</w:t>
            </w:r>
          </w:p>
        </w:tc>
      </w:tr>
      <w:tr>
        <w:tc>
          <w:tcPr>
            <w:tcW w:type="dxa" w:w="4320"/>
            <w:noWrap/>
          </w:tcPr>
          <w:p>
            <w:r>
              <w:t>Consumo efectivo del periodo (m³)</w:t>
            </w:r>
          </w:p>
        </w:tc>
        <w:tc>
          <w:tcPr>
            <w:tcW w:type="dxa" w:w="4320"/>
            <w:noWrap/>
          </w:tcPr>
          <w:p>
            <w:r>
              <w:t>-1.159,9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