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Fundo Zapallar Etapa N°2</w:t>
      </w:r>
    </w:p>
    <w:p>
      <w:pPr>
        <w:jc w:val="center"/>
      </w:pPr>
      <w:r>
        <w:t>MONITOREO WES</w:t>
        <w:br/>
        <w:t>Etapa N°2</w:t>
        <w:br/>
        <w:t>Rango: 01-02-26 - 28-02-26</w:t>
        <w:br/>
        <w:t>Generado: 06-03-26 14:13</w:t>
      </w:r>
    </w:p>
    <w:p>
      <w:pPr>
        <w:pStyle w:val="Heading1"/>
        <w:keepNext/>
        <w:widowControl/>
        <w:spacing w:after="60"/>
      </w:pPr>
      <w:r>
        <w:rPr>
          <w:b/>
          <w:color w:val="003366"/>
        </w:rPr>
        <w:t>RESUMEN EJECUTIVO</w:t>
      </w:r>
    </w:p>
    <w:p>
      <w:r>
        <w:t>Consumo total: 2.135,4 m³.</w:t>
        <w:br/>
      </w:r>
      <w:r>
        <w:t>Promedio diario: 76,3 m³.</w:t>
        <w:br/>
      </w:r>
      <w:r>
        <w:t>Número de días del periodo del reporte: 28.</w:t>
        <w:br/>
      </w:r>
      <w:r>
        <w:t>Día pico: 21-02-26 (86,3 m³).</w:t>
        <w:br/>
      </w:r>
      <w:r>
        <w:t>Número de alertas de consumo nocturno: 2.</w:t>
        <w:br/>
      </w:r>
    </w:p>
    <w:p>
      <w:pPr>
        <w:pStyle w:val="Heading1"/>
        <w:keepNext/>
        <w:widowControl/>
        <w:spacing w:after="60"/>
      </w:pPr>
      <w:r>
        <w:rPr>
          <w:b/>
          <w:color w:val="003366"/>
        </w:rPr>
        <w:t>CONSUMO</w:t>
      </w:r>
    </w:p>
    <w:p>
      <w:pPr>
        <w:jc w:val="both"/>
      </w:pPr>
      <w:r>
        <w:rPr>
          <w:color w:val="000000"/>
        </w:rPr>
        <w:t>En la gráfica se representan 28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0690"/>
            <wp:docPr id="1" name="Picture 1"/>
            <wp:cNvGraphicFramePr>
              <a:graphicFrameLocks noChangeAspect="1"/>
            </wp:cNvGraphicFramePr>
            <a:graphic>
              <a:graphicData uri="http://schemas.openxmlformats.org/drawingml/2006/picture">
                <pic:pic>
                  <pic:nvPicPr>
                    <pic:cNvPr id="0" name="chart_consumo_000027-07.png"/>
                    <pic:cNvPicPr/>
                  </pic:nvPicPr>
                  <pic:blipFill>
                    <a:blip r:embed="rId10"/>
                    <a:stretch>
                      <a:fillRect/>
                    </a:stretch>
                  </pic:blipFill>
                  <pic:spPr>
                    <a:xfrm>
                      <a:off x="0" y="0"/>
                      <a:ext cx="5486400" cy="2690690"/>
                    </a:xfrm>
                    <a:prstGeom prst="rect"/>
                  </pic:spPr>
                </pic:pic>
              </a:graphicData>
            </a:graphic>
          </wp:inline>
        </w:drawing>
      </w:r>
    </w:p>
    <w:p>
      <w:pPr>
        <w:jc w:val="both"/>
      </w:pPr>
      <w:r>
        <w:rPr>
          <w:color w:val="000000"/>
        </w:rPr>
        <w:t>El mayor consumo se registró el sábado 21-02-26 con 86,3 m³. Este día corresponde a un fin de semana, lo que típicamente se asocia con baja actividad hídrica. El análisis horario detallado de este día permite identificar los períodos de mayor demanda y los patrones de consumo específicos.</w:t>
      </w:r>
    </w:p>
    <w:p>
      <w:pPr>
        <w:spacing w:after="60"/>
      </w:pPr>
    </w:p>
    <w:p>
      <w:pPr>
        <w:keepNext/>
        <w:widowControl/>
        <w:spacing w:after="60"/>
        <w:jc w:val="center"/>
      </w:pPr>
      <w:r>
        <w:drawing>
          <wp:inline xmlns:a="http://schemas.openxmlformats.org/drawingml/2006/main" xmlns:pic="http://schemas.openxmlformats.org/drawingml/2006/picture">
            <wp:extent cx="5486400" cy="3309947"/>
            <wp:docPr id="2" name="Picture 2"/>
            <wp:cNvGraphicFramePr>
              <a:graphicFrameLocks noChangeAspect="1"/>
            </wp:cNvGraphicFramePr>
            <a:graphic>
              <a:graphicData uri="http://schemas.openxmlformats.org/drawingml/2006/picture">
                <pic:pic>
                  <pic:nvPicPr>
                    <pic:cNvPr id="0" name="chart_promedios_semanales_000027-07.png"/>
                    <pic:cNvPicPr/>
                  </pic:nvPicPr>
                  <pic:blipFill>
                    <a:blip r:embed="rId11"/>
                    <a:stretch>
                      <a:fillRect/>
                    </a:stretch>
                  </pic:blipFill>
                  <pic:spPr>
                    <a:xfrm>
                      <a:off x="0" y="0"/>
                      <a:ext cx="5486400" cy="3309947"/>
                    </a:xfrm>
                    <a:prstGeom prst="rect"/>
                  </pic:spPr>
                </pic:pic>
              </a:graphicData>
            </a:graphic>
          </wp:inline>
        </w:drawing>
      </w:r>
    </w:p>
    <w:p>
      <w:pPr>
        <w:keepNext/>
        <w:spacing w:after="60"/>
        <w:jc w:val="both"/>
      </w:pPr>
      <w:r>
        <w:rPr>
          <w:color w:val="000000"/>
        </w:rPr>
        <w:t>Esta gráfica muestra el promedio de consumo por día de la semana (lunes a domingo), calculado exclusivamente con semanas completas del período analizado. Para su elaboración, se identificaron 3 semana(s) completa(s) (desde el lunes 2 de febrero de 2026 hasta el domingo 22 de febrero de 2026), excluyendo aquellas semanas que no contenían todos los días de lunes a domingo. Los valores mostrados representan el promedio de consumo para cada día de la semana considerando únicamente estas semanas completas.</w:t>
      </w:r>
    </w:p>
    <w:p>
      <w:pPr>
        <w:keepNext/>
        <w:spacing w:after="0"/>
      </w:pPr>
    </w:p>
    <w:p>
      <w:pPr>
        <w:keepNext/>
        <w:widowControl/>
        <w:spacing w:after="60"/>
      </w:pPr>
      <w:r>
        <w:rPr>
          <w:b/>
          <w:color w:val="003366"/>
        </w:rPr>
        <w:t>ANÁLISIS DETALLADO POR HORA DE LOS DÍAS EXTREMOS:</w:t>
      </w:r>
    </w:p>
    <w:p>
      <w:pPr>
        <w:keepNext/>
        <w:widowControl/>
        <w:spacing w:after="60"/>
      </w:pPr>
      <w:r>
        <w:rPr>
          <w:b/>
          <w:color w:val="003366"/>
        </w:rPr>
        <w:t>DÍA CON MAYOR CONSUMO:</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hourly_max_000027-07.png"/>
                    <pic:cNvPicPr/>
                  </pic:nvPicPr>
                  <pic:blipFill>
                    <a:blip r:embed="rId12"/>
                    <a:stretch>
                      <a:fillRect/>
                    </a:stretch>
                  </pic:blipFill>
                  <pic:spPr>
                    <a:xfrm>
                      <a:off x="0" y="0"/>
                      <a:ext cx="5486400" cy="2702533"/>
                    </a:xfrm>
                    <a:prstGeom prst="rect"/>
                  </pic:spPr>
                </pic:pic>
              </a:graphicData>
            </a:graphic>
          </wp:inline>
        </w:drawing>
      </w:r>
    </w:p>
    <w:p>
      <w:pPr>
        <w:keepNext/>
        <w:spacing w:after="60"/>
      </w:pP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hourly_min_000027-07.png"/>
                    <pic:cNvPicPr/>
                  </pic:nvPicPr>
                  <pic:blipFill>
                    <a:blip r:embed="rId13"/>
                    <a:stretch>
                      <a:fillRect/>
                    </a:stretch>
                  </pic:blipFill>
                  <pic:spPr>
                    <a:xfrm>
                      <a:off x="0" y="0"/>
                      <a:ext cx="5486400" cy="2702533"/>
                    </a:xfrm>
                    <a:prstGeom prst="rect"/>
                  </pic:spPr>
                </pic:pic>
              </a:graphicData>
            </a:graphic>
          </wp:inline>
        </w:drawing>
      </w:r>
    </w:p>
    <w:p>
      <w:pPr>
        <w:spacing w:after="60"/>
      </w:pPr>
    </w:p>
    <w:p>
      <w:pPr>
        <w:jc w:val="both"/>
      </w:pPr>
      <w:r>
        <w:rPr>
          <w:color w:val="000000"/>
        </w:rPr>
        <w:t>No se registraron alzas significativas de consumo durante el periodo analizado.</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877"/>
        <w:gridCol w:w="3323"/>
      </w:tblGrid>
      <w:tr>
        <w:tc>
          <w:tcPr>
            <w:tcW w:type="dxa" w:w="4320"/>
            <w:shd w:val="clear" w:fill="D9E1F2"/>
            <w:noWrap/>
          </w:tcPr>
          <w:p>
            <w:r>
              <w:t>Total (m³)</w:t>
            </w:r>
          </w:p>
        </w:tc>
        <w:tc>
          <w:tcPr>
            <w:tcW w:type="dxa" w:w="4320"/>
            <w:shd w:val="clear" w:fill="D9E1F2"/>
            <w:noWrap/>
          </w:tcPr>
          <w:p>
            <w:r>
              <w:t>2.135,4</w:t>
            </w:r>
          </w:p>
        </w:tc>
      </w:tr>
      <w:tr>
        <w:tc>
          <w:tcPr>
            <w:tcW w:type="dxa" w:w="4320"/>
            <w:noWrap/>
          </w:tcPr>
          <w:p>
            <w:r>
              <w:t>Promedio diario (m³)</w:t>
            </w:r>
          </w:p>
        </w:tc>
        <w:tc>
          <w:tcPr>
            <w:tcW w:type="dxa" w:w="4320"/>
            <w:noWrap/>
          </w:tcPr>
          <w:p>
            <w:r>
              <w:t>76,3</w:t>
            </w:r>
          </w:p>
        </w:tc>
      </w:tr>
      <w:tr>
        <w:tc>
          <w:tcPr>
            <w:tcW w:type="dxa" w:w="4320"/>
            <w:noWrap/>
          </w:tcPr>
          <w:p>
            <w:r>
              <w:t>Promedio mensual (m³)</w:t>
            </w:r>
          </w:p>
        </w:tc>
        <w:tc>
          <w:tcPr>
            <w:tcW w:type="dxa" w:w="4320"/>
            <w:noWrap/>
          </w:tcPr>
          <w:p>
            <w:r>
              <w:t>2.288</w:t>
            </w:r>
          </w:p>
        </w:tc>
      </w:tr>
      <w:tr>
        <w:tc>
          <w:tcPr>
            <w:tcW w:type="dxa" w:w="4320"/>
            <w:noWrap/>
          </w:tcPr>
          <w:p>
            <w:r>
              <w:t>Máximo diario</w:t>
            </w:r>
          </w:p>
        </w:tc>
        <w:tc>
          <w:tcPr>
            <w:tcW w:type="dxa" w:w="4320"/>
            <w:noWrap/>
          </w:tcPr>
          <w:p>
            <w:r>
              <w:t>86,3 m³ (21-02-26)</w:t>
            </w:r>
          </w:p>
        </w:tc>
      </w:tr>
      <w:tr>
        <w:tc>
          <w:tcPr>
            <w:tcW w:type="dxa" w:w="4320"/>
            <w:noWrap/>
          </w:tcPr>
          <w:p>
            <w:r>
              <w:t>Mínimo diario</w:t>
            </w:r>
          </w:p>
        </w:tc>
        <w:tc>
          <w:tcPr>
            <w:tcW w:type="dxa" w:w="4320"/>
            <w:noWrap/>
          </w:tcPr>
          <w:p>
            <w:r>
              <w:t>68 m³ (24-02-26)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7800"/>
        <w:gridCol w:w="1560"/>
      </w:tblGrid>
      <w:tr>
        <w:tc>
          <w:tcPr>
            <w:tcW w:type="dxa" w:w="4320"/>
            <w:shd w:val="clear" w:fill="D9E1F2"/>
            <w:noWrap/>
          </w:tcPr>
          <w:p>
            <w:r>
              <w:t>Número de días con consumo nocturno</w:t>
            </w:r>
          </w:p>
        </w:tc>
        <w:tc>
          <w:tcPr>
            <w:tcW w:type="dxa" w:w="4320"/>
            <w:shd w:val="clear" w:fill="D9E1F2"/>
            <w:noWrap/>
          </w:tcPr>
          <w:p>
            <w:r>
              <w:t>28</w:t>
            </w:r>
          </w:p>
        </w:tc>
      </w:tr>
      <w:tr>
        <w:tc>
          <w:tcPr>
            <w:tcW w:type="dxa" w:w="4320"/>
            <w:noWrap/>
          </w:tcPr>
          <w:p>
            <w:r>
              <w:t>Número de días sin consumo nocturno</w:t>
            </w:r>
          </w:p>
        </w:tc>
        <w:tc>
          <w:tcPr>
            <w:tcW w:type="dxa" w:w="4320"/>
            <w:noWrap/>
          </w:tcPr>
          <w:p>
            <w:r>
              <w:t>0</w:t>
            </w:r>
          </w:p>
        </w:tc>
      </w:tr>
      <w:tr>
        <w:tc>
          <w:tcPr>
            <w:tcW w:type="dxa" w:w="4320"/>
            <w:noWrap/>
          </w:tcPr>
          <w:p>
            <w:r>
              <w:t>Consumo nocturno (m³)</w:t>
            </w:r>
          </w:p>
        </w:tc>
        <w:tc>
          <w:tcPr>
            <w:tcW w:type="dxa" w:w="4320"/>
            <w:noWrap/>
          </w:tcPr>
          <w:p>
            <w:r>
              <w:t>586,8</w:t>
            </w:r>
          </w:p>
        </w:tc>
      </w:tr>
      <w:tr>
        <w:tc>
          <w:tcPr>
            <w:tcW w:type="dxa" w:w="4320"/>
            <w:noWrap/>
          </w:tcPr>
          <w:p>
            <w:r>
              <w:t>Consumo diurno efectivo (m³)</w:t>
            </w:r>
          </w:p>
        </w:tc>
        <w:tc>
          <w:tcPr>
            <w:tcW w:type="dxa" w:w="4320"/>
            <w:noWrap/>
          </w:tcPr>
          <w:p>
            <w:r>
              <w:t>1.548,6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3657600" cy="2867784"/>
            <wp:docPr id="5" name="Picture 5"/>
            <wp:cNvGraphicFramePr>
              <a:graphicFrameLocks noChangeAspect="1"/>
            </wp:cNvGraphicFramePr>
            <a:graphic>
              <a:graphicData uri="http://schemas.openxmlformats.org/drawingml/2006/picture">
                <pic:pic>
                  <pic:nvPicPr>
                    <pic:cNvPr id="0" name="consumo_nocturno_vs_diurno.png"/>
                    <pic:cNvPicPr/>
                  </pic:nvPicPr>
                  <pic:blipFill>
                    <a:blip r:embed="rId14"/>
                    <a:stretch>
                      <a:fillRect/>
                    </a:stretch>
                  </pic:blipFill>
                  <pic:spPr>
                    <a:xfrm>
                      <a:off x="0" y="0"/>
                      <a:ext cx="3657600" cy="2867784"/>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pPr>
        <w:jc w:val="both"/>
      </w:pPr>
      <w:r>
        <w:rPr>
          <w:color w:val="000000"/>
        </w:rPr>
        <w:t>Los eventos de consumo nocturno provienen del punto Etapa N°2 y se utilizan para estimar el promedio diario de consumo nocturno y su proyección.</w:t>
      </w:r>
    </w:p>
    <w:p>
      <w:pPr>
        <w:jc w:val="both"/>
      </w:pPr>
      <w:r>
        <w:rPr>
          <w:color w:val="000000"/>
        </w:rPr>
        <w:t>Según el algoritmo implementado en el sistema WES de monitoreo en terreno, los valores presentados son los siguientes:</w:t>
      </w:r>
    </w:p>
    <w:p>
      <w:pPr>
        <w:keepNext/>
        <w:widowControl/>
        <w:spacing w:after="60"/>
        <w:jc w:val="center"/>
      </w:pPr>
      <w:r>
        <w:drawing>
          <wp:inline xmlns:a="http://schemas.openxmlformats.org/drawingml/2006/main" xmlns:pic="http://schemas.openxmlformats.org/drawingml/2006/picture">
            <wp:extent cx="5486400" cy="1683534"/>
            <wp:docPr id="6" name="Picture 6"/>
            <wp:cNvGraphicFramePr>
              <a:graphicFrameLocks noChangeAspect="1"/>
            </wp:cNvGraphicFramePr>
            <a:graphic>
              <a:graphicData uri="http://schemas.openxmlformats.org/drawingml/2006/picture">
                <pic:pic>
                  <pic:nvPicPr>
                    <pic:cNvPr id="0" name="chart_fugas_000027-07.png"/>
                    <pic:cNvPicPr/>
                  </pic:nvPicPr>
                  <pic:blipFill>
                    <a:blip r:embed="rId15"/>
                    <a:stretch>
                      <a:fillRect/>
                    </a:stretch>
                  </pic:blipFill>
                  <pic:spPr>
                    <a:xfrm>
                      <a:off x="0" y="0"/>
                      <a:ext cx="5486400" cy="1683534"/>
                    </a:xfrm>
                    <a:prstGeom prst="rect"/>
                  </pic:spPr>
                </pic:pic>
              </a:graphicData>
            </a:graphic>
          </wp:inline>
        </w:drawing>
      </w:r>
    </w:p>
    <w:p/>
    <w:p>
      <w:pPr>
        <w:keepNext/>
        <w:widowControl/>
        <w:spacing w:after="60"/>
      </w:pPr>
      <w:r>
        <w:rPr>
          <w:b/>
          <w:color w:val="003366"/>
        </w:rPr>
        <w:t>DÍA CON MAYOR CONSUMO NOCTURNO (16-02-26):</w:t>
      </w:r>
    </w:p>
    <w:p>
      <w:pPr>
        <w:keepNext/>
        <w:widowControl/>
        <w:spacing w:after="60"/>
        <w:jc w:val="center"/>
      </w:pPr>
      <w:r>
        <w:drawing>
          <wp:inline xmlns:a="http://schemas.openxmlformats.org/drawingml/2006/main" xmlns:pic="http://schemas.openxmlformats.org/drawingml/2006/picture">
            <wp:extent cx="5486400" cy="2704355"/>
            <wp:docPr id="7" name="Picture 7"/>
            <wp:cNvGraphicFramePr>
              <a:graphicFrameLocks noChangeAspect="1"/>
            </wp:cNvGraphicFramePr>
            <a:graphic>
              <a:graphicData uri="http://schemas.openxmlformats.org/drawingml/2006/picture">
                <pic:pic>
                  <pic:nvPicPr>
                    <pic:cNvPr id="0" name="chart_max_nocturnal_day_000027-07.png"/>
                    <pic:cNvPicPr/>
                  </pic:nvPicPr>
                  <pic:blipFill>
                    <a:blip r:embed="rId16"/>
                    <a:stretch>
                      <a:fillRect/>
                    </a:stretch>
                  </pic:blipFill>
                  <pic:spPr>
                    <a:xfrm>
                      <a:off x="0" y="0"/>
                      <a:ext cx="5486400" cy="2704355"/>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consumo nocturno es igual o superior al 80% (100%) y el periodo del reporte es mayor o igual a 7 días (28 días). En base a estas condiciones, se realiza un análisis del consumo nocturno: el consumo nocturno registrado durante el periodo analizado presenta un patrón consistente que permite proyectar el volumen de agua consumido durante las horas nocturnas (00:00 a 06:00) a lo largo de todo 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04"/>
        <w:gridCol w:w="1456"/>
      </w:tblGrid>
      <w:tr>
        <w:tc>
          <w:tcPr>
            <w:tcW w:type="dxa" w:w="4320"/>
            <w:shd w:val="clear" w:fill="D9E1F2"/>
            <w:noWrap/>
          </w:tcPr>
          <w:p>
            <w:r>
              <w:t>Promedio hora consumo nocturno (m³/h)</w:t>
            </w:r>
          </w:p>
        </w:tc>
        <w:tc>
          <w:tcPr>
            <w:tcW w:type="dxa" w:w="4320"/>
            <w:shd w:val="clear" w:fill="D9E1F2"/>
            <w:noWrap/>
          </w:tcPr>
          <w:p>
            <w:r>
              <w:t>3,49</w:t>
            </w:r>
          </w:p>
        </w:tc>
      </w:tr>
      <w:tr>
        <w:tc>
          <w:tcPr>
            <w:tcW w:type="dxa" w:w="4320"/>
            <w:noWrap/>
          </w:tcPr>
          <w:p>
            <w:r>
              <w:t>Proyección día filtración (m³/día)</w:t>
            </w:r>
          </w:p>
        </w:tc>
        <w:tc>
          <w:tcPr>
            <w:tcW w:type="dxa" w:w="4320"/>
            <w:noWrap/>
          </w:tcPr>
          <w:p>
            <w:r>
              <w:t>83,8</w:t>
            </w:r>
          </w:p>
        </w:tc>
      </w:tr>
      <w:tr>
        <w:tc>
          <w:tcPr>
            <w:tcW w:type="dxa" w:w="4320"/>
            <w:noWrap/>
          </w:tcPr>
          <w:p>
            <w:r>
              <w:t>Proyección filtración del periodo (m³)</w:t>
            </w:r>
          </w:p>
        </w:tc>
        <w:tc>
          <w:tcPr>
            <w:tcW w:type="dxa" w:w="4320"/>
            <w:noWrap/>
          </w:tcPr>
          <w:p>
            <w:r>
              <w:t>2.347,2</w:t>
            </w:r>
          </w:p>
        </w:tc>
      </w:tr>
      <w:tr>
        <w:tc>
          <w:tcPr>
            <w:tcW w:type="dxa" w:w="4320"/>
            <w:noWrap/>
          </w:tcPr>
          <w:p>
            <w:r>
              <w:t>Consumo efectivo del periodo (m³)</w:t>
            </w:r>
          </w:p>
        </w:tc>
        <w:tc>
          <w:tcPr>
            <w:tcW w:type="dxa" w:w="4320"/>
            <w:noWrap/>
          </w:tcPr>
          <w:p>
            <w:r>
              <w:t>-211,8</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