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La Florida</w:t>
      </w:r>
    </w:p>
    <w:p>
      <w:pPr>
        <w:jc w:val="center"/>
      </w:pPr>
      <w:r>
        <w:t>MONITOREO WES</w:t>
        <w:br/>
        <w:t>Análisis consolidado de 1 puntos de monitoreo</w:t>
        <w:br/>
        <w:t>Rango: 01-03-26 - 31-03-26</w:t>
        <w:br/>
        <w:t>Generado: 31-03-26 17:41</w:t>
      </w:r>
    </w:p>
    <w:p>
      <w:pPr>
        <w:pStyle w:val="Heading1"/>
        <w:keepNext/>
        <w:widowControl/>
        <w:spacing w:after="60"/>
      </w:pPr>
      <w:r>
        <w:rPr>
          <w:b/>
          <w:color w:val="003366"/>
        </w:rPr>
        <w:t>RESUMEN EJECUTIVO AGREGADO</w:t>
      </w:r>
    </w:p>
    <w:p>
      <w:r>
        <w:t>Puntos de monitoreo analizados: 1.</w:t>
        <w:br/>
      </w:r>
      <w:r>
        <w:t>Consumo total agregado: 2.804,2 m³.</w:t>
        <w:br/>
      </w:r>
      <w:r>
        <w:t>Consumo promedio por punto: 2.804,2 m³.</w:t>
        <w:br/>
      </w:r>
      <w:r>
        <w:t>Total de alertas registradas: 9.</w:t>
        <w:br/>
      </w:r>
      <w:r>
        <w:t>Promedio de alerta agregado: 4 m³/h.</w:t>
        <w:br/>
      </w:r>
      <w:r>
        <w:t>Proyección diaria de consumo nocturno agregada: 95,3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No hay suficientes datos para realizar una comparación entre puntos.</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289"/>
        <w:gridCol w:w="1105"/>
        <w:gridCol w:w="982"/>
        <w:gridCol w:w="1534"/>
        <w:gridCol w:w="1473"/>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Liceo Alto Cordillera</w:t>
            </w:r>
          </w:p>
        </w:tc>
        <w:tc>
          <w:tcPr>
            <w:tcW w:type="dxa" w:w="1440"/>
            <w:noWrap/>
          </w:tcPr>
          <w:p>
            <w:r>
              <w:t>2.804,2</w:t>
            </w:r>
          </w:p>
        </w:tc>
        <w:tc>
          <w:tcPr>
            <w:tcW w:type="dxa" w:w="1440"/>
            <w:noWrap/>
          </w:tcPr>
          <w:p>
            <w:r>
              <w:t>9</w:t>
            </w:r>
          </w:p>
        </w:tc>
        <w:tc>
          <w:tcPr>
            <w:tcW w:type="dxa" w:w="1440"/>
            <w:noWrap/>
          </w:tcPr>
          <w:p>
            <w:pPr>
              <w:jc w:val="left"/>
            </w:pPr>
            <w:r>
              <w:t>747,4 m³</w:t>
            </w:r>
          </w:p>
          <w:p>
            <w:pPr>
              <w:jc w:val="left"/>
            </w:pPr>
            <w:r>
              <w:t>(27 días, 87,1%)</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2.804,2</w:t>
            </w:r>
          </w:p>
        </w:tc>
        <w:tc>
          <w:tcPr>
            <w:tcW w:type="dxa" w:w="1440"/>
            <w:noWrap/>
            <w:shd w:val="clear" w:fill="FFE6E6"/>
          </w:tcPr>
          <w:p>
            <w:pPr>
              <w:jc w:val="left"/>
            </w:pPr>
            <w:r>
              <w:rPr>
                <w:b/>
                <w:color w:val="FF0000"/>
              </w:rPr>
              <w:t>9</w:t>
            </w:r>
          </w:p>
        </w:tc>
        <w:tc>
          <w:tcPr>
            <w:tcW w:type="dxa" w:w="1440"/>
            <w:noWrap/>
            <w:shd w:val="clear" w:fill="FFE6E6"/>
          </w:tcPr>
          <w:p>
            <w:pPr>
              <w:jc w:val="left"/>
            </w:pPr>
            <w:r>
              <w:rPr>
                <w:b/>
                <w:color w:val="FF0000"/>
              </w:rPr>
              <w:t>747,4 m³</w:t>
            </w:r>
          </w:p>
        </w:tc>
        <w:tc>
          <w:tcPr>
            <w:tcW w:type="dxa" w:w="1440"/>
            <w:noWrap/>
            <w:shd w:val="clear" w:fill="FFE6E6"/>
          </w:tcPr>
          <w:p>
            <w:pPr>
              <w:jc w:val="left"/>
            </w:pPr>
            <w:r>
              <w:rPr>
                <w:b/>
                <w:color w:val="FF0000"/>
              </w:rPr>
              <w:t>0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LICEO ALTO CORDILLERA (10-03-26):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8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Liceo Alto Cordillera registró 9 alerta(s) durante 8 día(s) del periodo analizado. La periodicidad de las alertas es intermitente (más del 20% de los días).</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4" name="Picture 4"/>
            <wp:cNvGraphicFramePr>
              <a:graphicFrameLocks noChangeAspect="1"/>
            </wp:cNvGraphicFramePr>
            <a:graphic>
              <a:graphicData uri="http://schemas.openxmlformats.org/drawingml/2006/picture">
                <pic:pic>
                  <pic:nvPicPr>
                    <pic:cNvPr id="0" name="chart_comparacion_mensual_agregada.png"/>
                    <pic:cNvPicPr/>
                  </pic:nvPicPr>
                  <pic:blipFill>
                    <a:blip r:embed="rId13"/>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Este reporte sintetiza los principales hallazgos de consumo y fugas. Se recomienda revisar los días con mayor consumo y atender las alertas registradas.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