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 Florida</w:t>
      </w:r>
    </w:p>
    <w:p>
      <w:pPr>
        <w:jc w:val="center"/>
      </w:pPr>
      <w:r>
        <w:t>MONITOREO WES</w:t>
        <w:br/>
        <w:t>Análisis consolidado de 1 puntos de monitoreo</w:t>
        <w:br/>
        <w:t>Rango: 01-01-26 - 31-01-26</w:t>
        <w:br/>
        <w:t>Generado: 08-04-26 14:50</w:t>
      </w:r>
    </w:p>
    <w:p>
      <w:pPr>
        <w:pStyle w:val="Heading1"/>
        <w:keepNext/>
        <w:widowControl/>
        <w:spacing w:after="60"/>
      </w:pPr>
      <w:r>
        <w:rPr>
          <w:b/>
          <w:color w:val="003366"/>
        </w:rPr>
        <w:t>RESUMEN EJECUTIVO AGREGADO</w:t>
      </w:r>
    </w:p>
    <w:p>
      <w:r>
        <w:t>Puntos de monitoreo analizados: 1.</w:t>
        <w:br/>
      </w:r>
      <w:r>
        <w:t>Consumo total agregado: 2.784,4 m³.</w:t>
        <w:br/>
      </w:r>
      <w:r>
        <w:t>Consumo promedio por punto: 2.784,4 m³.</w:t>
        <w:br/>
      </w:r>
      <w:r>
        <w:t>Total de alertas registradas: 8.</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289"/>
        <w:gridCol w:w="1105"/>
        <w:gridCol w:w="982"/>
        <w:gridCol w:w="1534"/>
        <w:gridCol w:w="1473"/>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Liceo Alto Cordillera</w:t>
            </w:r>
          </w:p>
        </w:tc>
        <w:tc>
          <w:tcPr>
            <w:tcW w:type="dxa" w:w="1440"/>
            <w:noWrap/>
          </w:tcPr>
          <w:p>
            <w:r>
              <w:t>2.784,4</w:t>
            </w:r>
          </w:p>
        </w:tc>
        <w:tc>
          <w:tcPr>
            <w:tcW w:type="dxa" w:w="1440"/>
            <w:noWrap/>
          </w:tcPr>
          <w:p>
            <w:r>
              <w:t>8</w:t>
            </w:r>
          </w:p>
        </w:tc>
        <w:tc>
          <w:tcPr>
            <w:tcW w:type="dxa" w:w="1440"/>
            <w:noWrap/>
          </w:tcPr>
          <w:p>
            <w:pPr>
              <w:jc w:val="left"/>
            </w:pPr>
            <w:r>
              <w:t>762,6 m³</w:t>
            </w:r>
          </w:p>
          <w:p>
            <w:pPr>
              <w:jc w:val="left"/>
            </w:pPr>
            <w:r>
              <w:t>(28 días, 90,3%)</w:t>
            </w:r>
          </w:p>
        </w:tc>
        <w:tc>
          <w:tcPr>
            <w:tcW w:type="dxa" w:w="1440"/>
            <w:noWrap/>
          </w:tcPr>
          <w:p>
            <w:pPr>
              <w:jc w:val="left"/>
            </w:pPr>
            <w:r>
              <w:t>2.614,8 m³</w:t>
            </w:r>
          </w:p>
          <w:p>
            <w:pPr>
              <w:jc w:val="left"/>
            </w:pPr>
            <w:r>
              <w:t>(93,9%)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2.784,4</w:t>
            </w:r>
          </w:p>
        </w:tc>
        <w:tc>
          <w:tcPr>
            <w:tcW w:type="dxa" w:w="1440"/>
            <w:noWrap/>
            <w:shd w:val="clear" w:fill="FFE6E6"/>
          </w:tcPr>
          <w:p>
            <w:pPr>
              <w:jc w:val="left"/>
            </w:pPr>
            <w:r>
              <w:rPr>
                <w:b/>
                <w:color w:val="FF0000"/>
              </w:rPr>
              <w:t>8</w:t>
            </w:r>
          </w:p>
        </w:tc>
        <w:tc>
          <w:tcPr>
            <w:tcW w:type="dxa" w:w="1440"/>
            <w:noWrap/>
            <w:shd w:val="clear" w:fill="FFE6E6"/>
          </w:tcPr>
          <w:p>
            <w:pPr>
              <w:jc w:val="left"/>
            </w:pPr>
            <w:r>
              <w:rPr>
                <w:b/>
                <w:color w:val="FF0000"/>
              </w:rPr>
              <w:t>762,6 m³</w:t>
            </w:r>
          </w:p>
        </w:tc>
        <w:tc>
          <w:tcPr>
            <w:tcW w:type="dxa" w:w="1440"/>
            <w:noWrap/>
            <w:shd w:val="clear" w:fill="FFE6E6"/>
          </w:tcPr>
          <w:p>
            <w:pPr>
              <w:jc w:val="left"/>
            </w:pPr>
            <w:r>
              <w:rPr>
                <w:b/>
                <w:color w:val="FF0000"/>
              </w:rPr>
              <w:t>2.614,8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ALTO CORDILLERA (04-01-26):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8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Liceo Alto Cordillera registró 8 alerta(s) durante 7 día(s) del periodo analizado. La periodicidad de las alertas es intermitente (más del 20% de los días). Se identificó una proyección de filtración de 2.614,8 m³ ($3.399.195),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Liceo Alto Cordillera, con un volumen proyectado de 2.614,8 m³ (93,9%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