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 Florida</w:t>
      </w:r>
    </w:p>
    <w:p>
      <w:pPr>
        <w:jc w:val="center"/>
      </w:pPr>
      <w:r>
        <w:t>MONITOREO WES</w:t>
        <w:br/>
        <w:t>Análisis consolidado de 1 puntos de monitoreo</w:t>
        <w:br/>
        <w:t>Rango: 01-05-26 - 31-05-26</w:t>
        <w:br/>
        <w:t>Generado: 28-05-26 19:08</w:t>
      </w:r>
    </w:p>
    <w:p>
      <w:pPr>
        <w:pStyle w:val="Heading1"/>
        <w:keepNext/>
        <w:widowControl/>
        <w:spacing w:after="60"/>
      </w:pPr>
      <w:r>
        <w:rPr>
          <w:b/>
          <w:color w:val="003366"/>
        </w:rPr>
        <w:t>RESUMEN EJECUTIVO AGREGADO</w:t>
      </w:r>
    </w:p>
    <w:p>
      <w:r>
        <w:t>Puntos de monitoreo analizados: 1.</w:t>
        <w:br/>
      </w:r>
      <w:r>
        <w:t>Consumo total agregado: 450,5 m³.</w:t>
        <w:br/>
      </w:r>
      <w:r>
        <w:t>Consumo promedio por punto: 450,5 m³.</w:t>
        <w:br/>
      </w:r>
      <w:r>
        <w:t>Total de alertas registradas: 3.</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289"/>
        <w:gridCol w:w="1105"/>
        <w:gridCol w:w="982"/>
        <w:gridCol w:w="1534"/>
        <w:gridCol w:w="1473"/>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Liceo Alto Cordillera</w:t>
            </w:r>
          </w:p>
        </w:tc>
        <w:tc>
          <w:tcPr>
            <w:tcW w:type="dxa" w:w="1440"/>
            <w:noWrap/>
          </w:tcPr>
          <w:p>
            <w:r>
              <w:t>450,5</w:t>
            </w:r>
          </w:p>
        </w:tc>
        <w:tc>
          <w:tcPr>
            <w:tcW w:type="dxa" w:w="1440"/>
            <w:noWrap/>
          </w:tcPr>
          <w:p>
            <w:r>
              <w:t>3</w:t>
            </w:r>
          </w:p>
        </w:tc>
        <w:tc>
          <w:tcPr>
            <w:tcW w:type="dxa" w:w="1440"/>
            <w:noWrap/>
          </w:tcPr>
          <w:p>
            <w:pPr>
              <w:jc w:val="left"/>
            </w:pPr>
            <w:r>
              <w:t>150,5 m³</w:t>
            </w:r>
          </w:p>
          <w:p>
            <w:pPr>
              <w:jc w:val="left"/>
            </w:pPr>
            <w:r>
              <w:t>(11 días, 52,4%)</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450,5</w:t>
            </w:r>
          </w:p>
        </w:tc>
        <w:tc>
          <w:tcPr>
            <w:tcW w:type="dxa" w:w="1440"/>
            <w:noWrap/>
            <w:shd w:val="clear" w:fill="FFE6E6"/>
          </w:tcPr>
          <w:p>
            <w:pPr>
              <w:jc w:val="left"/>
            </w:pPr>
            <w:r>
              <w:rPr>
                <w:b/>
                <w:color w:val="FF0000"/>
              </w:rPr>
              <w:t>3</w:t>
            </w:r>
          </w:p>
        </w:tc>
        <w:tc>
          <w:tcPr>
            <w:tcW w:type="dxa" w:w="1440"/>
            <w:noWrap/>
            <w:shd w:val="clear" w:fill="FFE6E6"/>
          </w:tcPr>
          <w:p>
            <w:pPr>
              <w:jc w:val="left"/>
            </w:pPr>
            <w:r>
              <w:rPr>
                <w:b/>
                <w:color w:val="FF0000"/>
              </w:rPr>
              <w:t>150,5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ALTO CORDILLERA (19-05-26):</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max_nocturnal_000028_01.png"/>
                    <pic:cNvPicPr/>
                  </pic:nvPicPr>
                  <pic:blipFill>
                    <a:blip r:embed="rId12"/>
                    <a:stretch>
                      <a:fillRect/>
                    </a:stretch>
                  </pic:blipFill>
                  <pic:spPr>
                    <a:xfrm>
                      <a:off x="0" y="0"/>
                      <a:ext cx="5486400" cy="2704355"/>
                    </a:xfrm>
                    <a:prstGeom prst="rect"/>
                  </pic:spPr>
                </pic:pic>
              </a:graphicData>
            </a:graphic>
          </wp:inline>
        </w:drawing>
      </w:r>
    </w:p>
    <w:p>
      <w:pPr>
        <w:jc w:val="both"/>
      </w:pPr>
      <w:r>
        <w:rPr>
          <w:color w:val="000000"/>
        </w:rPr>
        <w:t>El nodo Liceo Alto Cordillera registró 3 alerta(s) durante 3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